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technical disruption, and the entry of the domestic setting into the lesson (Gacs et al., 2020; MacIntyre et al., 2020; Moser, Wei, &amp; Brenner, 2021; Tao &amp; Gao, 2022).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 Chinese-language emergency studies have documented pedagogical adaptation on the sending side, for example technology-based character instruction (Xu, Jin, Deifell, &amp; Angus, 2022). They have not, as a body of work, treated delivery-context fit for South–South respondents studying off campus.</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Empirical work on Pakistani university e-learning during COVID-19 has already reported uneven internet access and ICT skills, especially outside well-resourced urban campuses (Jamil &amp; Muschert, 2023). That literature is background. It does not describe the present 38 respondents.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2026-08-23T08:40:01Z</dcterms:created>
  <dcterms:modified xsi:type="dcterms:W3CDTF">2026-08-23T08:40:01Z</dcterms:modified>
</cp:coreProperties>
</file>

<file path=docProps/custom.xml><?xml version="1.0" encoding="utf-8"?>
<Properties xmlns="http://schemas.openxmlformats.org/officeDocument/2006/custom-properties" xmlns:vt="http://schemas.openxmlformats.org/officeDocument/2006/docPropsVTypes"/>
</file>