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Kristin J. Davin and Francis J. Troyan</w:t>
      </w:r>
      <w:r>
        <w:br/>
      </w:r>
      <w:r>
        <w:t xml:space="preserve">Editors</w:t>
      </w:r>
      <w:r>
        <w:br/>
      </w:r>
      <w:r>
        <w:rPr>
          <w:iCs/>
          <w:i/>
        </w:rPr>
        <w:t xml:space="preserve">Foreign Language Annals</w:t>
      </w:r>
    </w:p>
    <w:p>
      <w:pPr>
        <w:pStyle w:val="BodyText"/>
      </w:pPr>
      <w:r>
        <w:t xml:space="preserve">Dear Editors,</w:t>
      </w:r>
    </w:p>
    <w:p>
      <w:pPr>
        <w:pStyle w:val="BodyText"/>
      </w:pPr>
      <w:r>
        <w:t xml:space="preserve">Please consider</w:t>
      </w:r>
      <w:r>
        <w:t xml:space="preserve"> </w:t>
      </w:r>
      <w:r>
        <w:t xml:space="preserve">“</w:t>
      </w:r>
      <w:r>
        <w:t xml:space="preserve">Household infrastructure and platform access in online Chinese teaching</w:t>
      </w:r>
      <w:r>
        <w:t xml:space="preserve">”</w:t>
      </w:r>
      <w:r>
        <w:t xml:space="preserve"> </w:t>
      </w:r>
      <w:r>
        <w:t xml:space="preserve">for publication in</w:t>
      </w:r>
      <w:r>
        <w:t xml:space="preserve"> </w:t>
      </w:r>
      <w:r>
        <w:rPr>
          <w:iCs/>
          <w:i/>
        </w:rPr>
        <w:t xml:space="preserve">Foreign Language Annals</w:t>
      </w:r>
      <w:r>
        <w:t xml:space="preserve"> </w:t>
      </w:r>
      <w:r>
        <w:t xml:space="preserve">as an original empirical article.</w:t>
      </w:r>
    </w:p>
    <w:p>
      <w:pPr>
        <w:pStyle w:val="BodyText"/>
      </w:pPr>
      <w:r>
        <w:t xml:space="preserve">The article examines a delivery problem in the teaching of a language other than English: an online Chinese course may remain appropriate in content and still be a course learners cannot take if household power, network speed, or platform access does not support its timetable, platforms, oral tasks, and assessment. It reports an exploratory Chinese-language questionnaire (N = 38; 37 respondents selected Pakistani nationality). Chinese-university enrollment and physical location were not independently verified. Data were collected during emergency remote teaching (5–8 February 2022); that date is reported in the Methods section. The article does not claim evidence about current hybrid practice.</w:t>
      </w:r>
    </w:p>
    <w:p>
      <w:pPr>
        <w:pStyle w:val="BodyText"/>
      </w:pPr>
      <w:r>
        <w:t xml:space="preserve">The manuscript is written to this journal’s published pattern. It includes a Challenge statement, a short abstract with a pedagogical takeaway, APA 7th references, and a dedicated Pedagogical implications section. It continues a conversation already in</w:t>
      </w:r>
      <w:r>
        <w:t xml:space="preserve"> </w:t>
      </w:r>
      <w:r>
        <w:rPr>
          <w:iCs/>
          <w:i/>
        </w:rPr>
        <w:t xml:space="preserve">Foreign Language Annals</w:t>
      </w:r>
      <w:r>
        <w:t xml:space="preserve">: planned versus crisis-prompted online language teaching (Gacs, Goertler, &amp; Spasova, 2020), online tasks (González-Lloret, 2020), productive skills online (Payne, 2020), virtual community (Lomicka, 2020), language anxiety and the online learner (Russell, 2020), emergency remote character teaching (Xu, Jin, Deifell, &amp; Angus, 2022), world-language faculty perceptions of pandemic online teaching (Jin, Xu, &amp; Deifell, 2023), and designed online collaborative writing among Chinese-language learners (Zhang &amp; Liu, 2023). Those articles name access, platforms, and learner conditions. This manuscript measures household infrastructure and platform access as learner-side conditions of a travelling Chinese course.</w:t>
      </w:r>
    </w:p>
    <w:p>
      <w:pPr>
        <w:pStyle w:val="BodyText"/>
      </w:pPr>
      <w:r>
        <w:t xml:space="preserve">No institutional ethics approval number is available for the original 2022 data collection. Institutional guidance on retrospective review or exemption is being sought before upload if the journal requires a protocol number.</w:t>
      </w:r>
    </w:p>
    <w:p>
      <w:pPr>
        <w:pStyle w:val="BodyText"/>
      </w:pPr>
      <w:r>
        <w:t xml:space="preserve">The corresponding author is Heena Rathore, PhD student, School of Foreign Languages, Sun Yat-sen University. Co-authors: Cao Huimin and Xu Yiru. This is an original article. It is not a republication and is not under review elsewhere. If the manuscript is accepted, at least one author will hold ACTFL membership before final acceptance, as the journal requires.</w:t>
      </w:r>
    </w:p>
    <w:p>
      <w:pPr>
        <w:pStyle w:val="BodyText"/>
      </w:pPr>
      <w:r>
        <w:t xml:space="preserve">Send only after all listed authors have read and approved this version.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Heena Rathore (corresponding author)</w:t>
      </w:r>
      <w:r>
        <w:br/>
      </w:r>
      <w:r>
        <w:t xml:space="preserve">PhD student, School of Foreign Languages, Sun Yat-sen University</w:t>
      </w:r>
      <w:r>
        <w:br/>
      </w:r>
      <w:r>
        <w:t xml:space="preserve">kristine_2020@qq.com</w:t>
      </w:r>
    </w:p>
    <w:p>
      <w:pPr>
        <w:pStyle w:val="BodyText"/>
      </w:pPr>
      <w:r>
        <w:t xml:space="preserve">Cao Huimin</w:t>
      </w:r>
      <w:r>
        <w:br/>
      </w:r>
      <w:r>
        <w:t xml:space="preserve">Institute for International Communication of Chinese Culture, Beijing Foreign Studies University</w:t>
      </w:r>
      <w:r>
        <w:br/>
      </w:r>
      <w:r>
        <w:t xml:space="preserve">[confirm email]</w:t>
      </w:r>
    </w:p>
    <w:p>
      <w:pPr>
        <w:pStyle w:val="BodyText"/>
      </w:pPr>
      <w:r>
        <w:t xml:space="preserve">Xu Yiru</w:t>
      </w:r>
      <w:r>
        <w:br/>
      </w:r>
      <w:r>
        <w:t xml:space="preserve">School of Foreign Languages, Sun Yat-sen University</w:t>
      </w:r>
      <w:r>
        <w:br/>
      </w:r>
      <w:r>
        <w:t xml:space="preserve">xuyiru@mail.sysu.edu.cn</w:t>
      </w:r>
    </w:p>
    <w:sectPr w:rsidR="00FC693F" w:rsidRPr="0006063C" w:rsidSect="0003461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line="480" w:lineRule="auto"/>
    </w:pPr>
    <w:rPr>
      <w:rFonts w:ascii="Times New Roman" w:hAnsi="Times New Roman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Times New Roman" w:asciiTheme="majorHAnsi" w:cstheme="majorBidi" w:eastAsiaTheme="majorEastAsia" w:hAnsi="Times New Roman" w:hAnsiTheme="majorHAnsi"/>
      <w:b/>
      <w:bCs/>
      <w:color w:val="00000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Times New Roman" w:asciiTheme="majorHAnsi" w:cstheme="majorBidi" w:eastAsiaTheme="majorEastAsia" w:hAnsi="Times New Roman" w:hAnsiTheme="majorHAnsi"/>
      <w:color w:val="000000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2026-08-23T12:16:52Z</dcterms:created>
  <dcterms:modified xsi:type="dcterms:W3CDTF">2026-08-23T12:16:52Z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