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Conflict of interest.</w:t>
      </w:r>
      <w:r>
        <w:t xml:space="preserve"> </w:t>
      </w:r>
      <w:r>
        <w:t xml:space="preserve">The authors declare no conflict of interest.</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content may remain appropriate while the class is closed if household power, network speed, or platform access does not support the required timetable, platforms, oral tasks, and assessment. A Chinese-language questionnaire asked 38 self-selected respondents (37 selected Pakistani nationality) about those conditions, stress, and appraisals of online learning. Unstable networks (76.3%) and power interruptions (42.1%) were common; 36.8% selected</w:t>
      </w:r>
      <w:r>
        <w:t xml:space="preserve"> </w:t>
      </w:r>
      <w:r>
        <w:t xml:space="preserve">“</w:t>
      </w:r>
      <w:r>
        <w:t xml:space="preserve">very high stress.</w:t>
      </w:r>
      <w:r>
        <w:t xml:space="preserve">”</w:t>
      </w:r>
      <w:r>
        <w:t xml:space="preserve"> </w:t>
      </w:r>
      <w:r>
        <w:t xml:space="preserve">Home affecting study</w:t>
      </w:r>
      <w:r>
        <w:t xml:space="preserve"> </w:t>
      </w:r>
      <w:r>
        <w:t xml:space="preserve">“</w:t>
      </w:r>
      <w:r>
        <w:t xml:space="preserve">very much</w:t>
      </w:r>
      <w:r>
        <w:t xml:space="preserve">”</w:t>
      </w:r>
      <w:r>
        <w:t xml:space="preserve"> </w:t>
      </w:r>
      <w:r>
        <w:t xml:space="preserve">co-occurred with that category (11/14 versus 3/24; Fisher’s exact (p = .00008)). Worse reported internet speed was associated with a more negative appraisal ((</w:t>
      </w:r>
      <w:r>
        <w:t xml:space="preserve">= .65), 95% bootstrap CI ([.36, .84])). QQ and Chaoxing were often marked unusable; Zoom and WhatsApp were more often marked available. Time, platform, task, and assessment therefore have to be judged against learner-side conditions. The results are exploratory and are not evidence of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An online Chinese course can keep its hours, platforms, oral tasks, and assessment, and still be a course learners cannot take. When household power, network speed, or a required application fails, content may remain appropriate while the class is closed. How should world-language programs treat that as a teaching problem rather than a technical inconvenience?</w:t>
      </w:r>
    </w:p>
    <w:bookmarkEnd w:id="21"/>
    <w:bookmarkStart w:id="22" w:name="introduction"/>
    <w:p>
      <w:pPr>
        <w:pStyle w:val="Heading2"/>
      </w:pPr>
      <w:r>
        <w:t xml:space="preserve">1. Introduction</w:t>
      </w:r>
    </w:p>
    <w:p>
      <w:pPr>
        <w:pStyle w:val="FirstParagraph"/>
      </w:pPr>
      <w:r>
        <w:t xml:space="preserve">The problem this article addresses is real. An online Chinese course can keep its hours, platforms, oral tasks, and assessment, and still be a course learners cannot take. Online language programs commonly retain the timetable and classroom tasks of the sending class, and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From the household side, owning a device is not participation when power, speed, or a usable application is missing (Ali, 2020; Beaunoyer et al., 2020; Guo &amp; Wan, 2022; Vishnu et al., 2024; Warschauer, 2003). Distance language learning had already asked whether a remote class was feasible (White, 2006). If household power, network speed, or platform access does not support the required class, the content may remain appropriate while the class is closed. That is a delivery problem, not a content problem.</w:t>
      </w:r>
    </w:p>
    <w:p>
      <w:pPr>
        <w:pStyle w:val="BodyText"/>
      </w:pPr>
      <w:r>
        <w:t xml:space="preserve">The field has named this failure more often than it has taken it as the object of study. Emergency remote teaching made the problem urgent, but much of that writing used it as a setting for teacher workload, sending-side pedagogical adaptation, or a videoconference copy of the campus hour (MacIntyre et al., 2020; Moser et al., 2021; Xu et al., 2022). Later work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Listing the difficulty is not the same as measuring the conditions that produce it.</w:t>
      </w:r>
    </w:p>
    <w:p>
      <w:pPr>
        <w:pStyle w:val="BodyText"/>
      </w:pPr>
      <w:r>
        <w:t xml:space="preserve">To treat the problem as a research problem, rather than as an emergency inconvenience, this study collected a Chinese-language questionnaire on the learner-side conditions that decide whether the class can be entered at all. Empirical work in this journal has already treated online world-language teaching as a problem of access, task design, interaction, anxiety, and emergency adaptation, not only of content (Gacs et al., 2020; González-Lloret, 2020; Jin et al., 2023; Lomicka, 2020; Payne, 2020; Russell, 2020; Xu et al., 2022; Zhang &amp; Liu, 2023). The same move is required here for the conditions of a travelling Chinese course. A self-selected group of respondents reporting participation in online Chinese-language courses was asked what household, connectivity, and platform-access conditions they faced, and how those conditions sat alongside stress and appraisals of online learning. The instrument cannot show how institutions adapted time, platform, task, participation mode, or assessment. It can show the conditions against which those arrangements have to be judged. Time-zone difference and the absence of a Chinese-speaking environment have also been listed as field problems; they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and the findings are exploratory. The article does not ask whether later hybrid practice has closed the gap.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2"/>
    <w:bookmarkStart w:id="27" w:name="Xa71efe292272ba0d775f88aaa92c3e49c1e1383"/>
    <w:p>
      <w:pPr>
        <w:pStyle w:val="Heading2"/>
      </w:pPr>
      <w:r>
        <w:t xml:space="preserve">2. Literature review and conceptual framework</w:t>
      </w:r>
    </w:p>
    <w:bookmarkStart w:id="23"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normalization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organize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In this journal, Russell (2020) already treats language anxiety as a condition of the online learner;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4"/>
    <w:bookmarkStart w:id="25" w:name="localization-of-delivery"/>
    <w:p>
      <w:pPr>
        <w:pStyle w:val="Heading3"/>
      </w:pPr>
      <w:r>
        <w:t xml:space="preserve">2.3 Localization of delivery</w:t>
      </w:r>
    </w:p>
    <w:p>
      <w:pPr>
        <w:pStyle w:val="FirstParagraph"/>
      </w:pPr>
      <w:r>
        <w:t xml:space="preserve">In materials work, localization has usually meant personalizing content so that it speaks to a particular group (McDonough &amp; Shaw, 2003; Tomlinson, 2011). Canagarajah (2005) and Kumaravadivelu (2001) locate pedagogy in a specific group and place. The promotion of Chinese has long been organized through institutes, textbooks, and tests (Zhao &amp; Huang, 2010), and ICLE research has applied localization mainly to curriculum construction and textbook adaptation (Lu et al., 2024; Zhao, 2020). Lam (2024) shows how literacy practices are reshaped in a local university classroom. Guerrettaz et al. (2021) push materials off the page and into use. If that move is taken seriously, localization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Localization of</w:t>
      </w:r>
      <w:r>
        <w:t xml:space="preserve"> </w:t>
      </w:r>
      <w:r>
        <w:rPr>
          <w:iCs/>
          <w:i/>
        </w:rPr>
        <w:t xml:space="preserve">content</w:t>
      </w:r>
      <w:r>
        <w:t xml:space="preserve">: examples, festivals, and cultural comparison.</w:t>
      </w:r>
    </w:p>
    <w:p>
      <w:pPr>
        <w:numPr>
          <w:ilvl w:val="0"/>
          <w:numId w:val="1002"/>
        </w:numPr>
        <w:pStyle w:val="Compact"/>
      </w:pPr>
      <w:r>
        <w:t xml:space="preserve">Localization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Localization of</w:t>
      </w:r>
      <w:r>
        <w:t xml:space="preserve"> </w:t>
      </w:r>
      <w:r>
        <w:rPr>
          <w:iCs/>
          <w:i/>
        </w:rPr>
        <w:t xml:space="preserve">curriculum</w:t>
      </w:r>
      <w:r>
        <w:t xml:space="preserve">: pathway, hours, and assessment of a named program (Shan &amp; Xu, 2024; Zhao, 2020).</w:t>
      </w:r>
    </w:p>
    <w:p>
      <w:pPr>
        <w:numPr>
          <w:ilvl w:val="0"/>
          <w:numId w:val="1002"/>
        </w:numPr>
        <w:pStyle w:val="Compact"/>
      </w:pPr>
      <w:r>
        <w:t xml:space="preserve">Localization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Localization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localized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enrollment in a named Chinese university was not independently verified.</w:t>
      </w:r>
    </w:p>
    <w:bookmarkEnd w:id="25"/>
    <w:bookmarkStart w:id="26"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Localization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judgments. The figure is not a causal path.</w:t>
      </w:r>
    </w:p>
    <w:bookmarkEnd w:id="26"/>
    <w:bookmarkEnd w:id="27"/>
    <w:bookmarkStart w:id="33"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8"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8"/>
    <w:bookmarkStart w:id="29"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9"/>
    <w:bookmarkStart w:id="30"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level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7b675b68a71662490495bf3cb9cb7095edb5ac5"/>
    <w:p>
      <w:pPr>
        <w:pStyle w:val="Heading3"/>
      </w:pPr>
      <w:r>
        <w:t xml:space="preserve">4.4 Replacement judgment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Localization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pedagogical-implications"/>
    <w:p>
      <w:pPr>
        <w:pStyle w:val="Heading2"/>
      </w:pPr>
      <w:r>
        <w:t xml:space="preserve">6. Pedagogical implications</w:t>
      </w:r>
    </w:p>
    <w:p>
      <w:pPr>
        <w:pStyle w:val="FirstParagraph"/>
      </w:pPr>
      <w:r>
        <w:t xml:space="preserve">In this sample, the questionnaire can support only a small set of classroom decisions.</w:t>
      </w:r>
    </w:p>
    <w:p>
      <w:pPr>
        <w:pStyle w:val="BodyText"/>
      </w:pPr>
      <w:r>
        <w:t xml:space="preserve">First, do not treat the sending-side toolkit as given. QQ, Chaoxing, DingTalk, and 中国慕课 were frequently marked unusable. Before a program requires a platform, it has to ask whether learners can open it where they sit, and it has to name a usable alternative. WhatsApp was marked available here, but it was not recorded as used for class, so the data do not recommend it as a replacement.</w:t>
      </w:r>
    </w:p>
    <w:p>
      <w:pPr>
        <w:pStyle w:val="BodyText"/>
      </w:pPr>
      <w:r>
        <w:t xml:space="preserve">Second, do not treat a live oral hour as the only assessable performance. Only 28.9% described the home as quiet, 42.1% reported power interruptions, and 76.3% reported unstable networks. Assessment that assumes a quiet, continuous campus hour will mark some of those conditions as learner failure.</w:t>
      </w:r>
    </w:p>
    <w:p>
      <w:pPr>
        <w:pStyle w:val="BodyText"/>
      </w:pPr>
      <w:r>
        <w:t xml:space="preserve">Third, offer a shorter live slot or an asynchronous oral alternative. Preferred live length here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t xml:space="preserve">Fourth, collect household and access conditions as part of course design, not after complaints. The form shows those conditions. It does not show how institutions adapted.</w:t>
      </w:r>
    </w:p>
    <w:p>
      <w:pPr>
        <w:pStyle w:val="BodyText"/>
      </w:pPr>
      <w:r>
        <w:t xml:space="preserve">These suggestions are bound to this sample. They are not a national policy, and they are not evidence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40"/>
    <w:bookmarkStart w:id="41"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that week were not recorded, so Chinese-university enrollment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1"/>
    <w:bookmarkStart w:id="42"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2"/>
    <w:bookmarkStart w:id="43"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3"/>
    <w:bookmarkStart w:id="44"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4"/>
    <w:bookmarkStart w:id="45"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5"/>
    <w:bookmarkEnd w:id="46"/>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2026-08-23T12:16:52Z</dcterms:created>
  <dcterms:modified xsi:type="dcterms:W3CDTF">2026-08-23T12:16:52Z</dcterms:modified>
</cp:coreProperties>
</file>

<file path=docProps/custom.xml><?xml version="1.0" encoding="utf-8"?>
<Properties xmlns="http://schemas.openxmlformats.org/officeDocument/2006/custom-properties" xmlns:vt="http://schemas.openxmlformats.org/officeDocument/2006/docPropsVTypes"/>
</file>