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5acd6df0d7cf866a4a8047e473c33139c0e345"/>
    <w:p>
      <w:pPr>
        <w:pStyle w:val="Heading1"/>
      </w:pPr>
      <w:r>
        <w:t xml:space="preserve">Home conditions and named platforms in a 2022 online Chinese questionnaire</w:t>
      </w:r>
    </w:p>
    <w:p>
      <w:pPr>
        <w:pStyle w:val="FirstParagraph"/>
      </w:pPr>
      <w:r>
        <w:rPr>
          <w:bCs/>
          <w:b/>
        </w:rPr>
        <w:t xml:space="preserve">Short title:</w:t>
      </w:r>
      <w:r>
        <w:t xml:space="preserve"> </w:t>
      </w:r>
      <w:r>
        <w:t xml:space="preserve">Home conditions and named platforms</w:t>
      </w:r>
    </w:p>
    <w:p>
      <w:pPr>
        <w:pStyle w:val="BodyText"/>
      </w:pPr>
      <w:r>
        <w:rPr>
          <w:bCs/>
          <w:b/>
        </w:rPr>
        <w:t xml:space="preserve">Piece type:</w:t>
      </w:r>
      <w:r>
        <w:t xml:space="preserve"> </w:t>
      </w:r>
      <w:r>
        <w:t xml:space="preserve">short contribution (not a full research article)</w:t>
      </w:r>
    </w:p>
    <w:bookmarkStart w:id="20" w:name="abstract"/>
    <w:p>
      <w:pPr>
        <w:pStyle w:val="Heading2"/>
      </w:pPr>
      <w:r>
        <w:t xml:space="preserve">Abstract</w:t>
      </w:r>
    </w:p>
    <w:p>
      <w:pPr>
        <w:pStyle w:val="FirstParagraph"/>
      </w:pPr>
      <w:r>
        <w:t xml:space="preserve">Sending-side studies of emergency online Chinese teaching have described how instructors adapted hours and tasks. They have said less about what respondents marked for home power, network speed, and named applications. This short contribution reports 38 completed replies to a Wenjuan questionnaire written in Chinese and submitted between 5 and 8 February 2022. The form did not record recruitment, university, or place. Completing it is not treated as proof of enrollment. Twenty-nine of 38 marked an unstable network, 16 marked power interruptions, and 27 said the home was not quiet. QQ and Chaoxing were often marked unusable. Zoom and WhatsApp were more often marked available. Several platform columns were never asked, so the table is incomplete. The counts document learner-side ticks the field has named but rarely tabulated. They do not describe a named course or current hybrid practice.</w:t>
      </w:r>
    </w:p>
    <w:p>
      <w:pPr>
        <w:pStyle w:val="BodyText"/>
      </w:pPr>
      <w:r>
        <w:rPr>
          <w:bCs/>
          <w:b/>
        </w:rPr>
        <w:t xml:space="preserve">Keywords:</w:t>
      </w:r>
      <w:r>
        <w:t xml:space="preserve"> </w:t>
      </w:r>
      <w:r>
        <w:t xml:space="preserve">online Chinese teaching; household conditions; platform access; questionnaire; emergency remote teaching</w:t>
      </w:r>
    </w:p>
    <w:bookmarkEnd w:id="20"/>
    <w:bookmarkStart w:id="21" w:name="why-these-38-rows-are-worth-a-short-note"/>
    <w:p>
      <w:pPr>
        <w:pStyle w:val="Heading2"/>
      </w:pPr>
      <w:r>
        <w:t xml:space="preserve">1. Why these 38 rows are worth a short note</w:t>
      </w:r>
    </w:p>
    <w:p>
      <w:pPr>
        <w:pStyle w:val="FirstParagraph"/>
      </w:pPr>
      <w:r>
        <w:t xml:space="preserve">Emergency writing on online language teaching already said that a live hour assumes a connection and a usable application (Gacs et al., 2020; González-Lloret, 2020; Hodges et al., 2020). For Chinese, Xu, Jin, Deifell, and Angus (2022) showed how character teaching was adapted on the sending side. Jin, Xu, and Deifell (2023) reported faculty views. Reviews still list technical trouble and still give few learner-side frequencies for named tools (Li &amp; Li, 2024; Tao &amp; Gao, 2022).</w:t>
      </w:r>
    </w:p>
    <w:p>
      <w:pPr>
        <w:pStyle w:val="BodyText"/>
      </w:pPr>
      <w:r>
        <w:t xml:space="preserve">This note does not repeat those designs. It puts one small table set on the page: home conditions and named platforms, as marked on a 2022 form. That is a documentation task. It is not a test of teaching, and it is not a study of a verified class.</w:t>
      </w:r>
    </w:p>
    <w:bookmarkEnd w:id="21"/>
    <w:bookmarkStart w:id="22" w:name="the-form"/>
    <w:p>
      <w:pPr>
        <w:pStyle w:val="Heading2"/>
      </w:pPr>
      <w:r>
        <w:t xml:space="preserve">2. The form</w:t>
      </w:r>
    </w:p>
    <w:p>
      <w:pPr>
        <w:pStyle w:val="FirstParagraph"/>
      </w:pPr>
      <w:r>
        <w:t xml:space="preserve">The export title is Influencing factors in international students’ online Chinese learning during COVID-19. Thirty-eight complete rows remain. There was no recorded pilot. The link circulation was not stored. Host university, city, degree status, and scholarship type were not asked. Thirty-seven respondents selected Pakistani nationality. That box is reported as marked. Residence was not checked.</w:t>
      </w:r>
    </w:p>
    <w:p>
      <w:pPr>
        <w:pStyle w:val="BodyText"/>
      </w:pPr>
      <w:r>
        <w:t xml:space="preserve">Twenty-seven respondents were men and 11 were women. Self-rated Chinese was advanced for 22, intermediate for 15, and beginner for one. Twenty-seven said required courses were online; 23 said electives were. Thirty said all of their Chinese classes were online. Twenty-two said they were working while studying. Submission operating system was iPhone (24) or Android (14). That is the device used to send the form.</w:t>
      </w:r>
    </w:p>
    <w:p>
      <w:pPr>
        <w:pStyle w:val="BodyText"/>
      </w:pPr>
      <w:r>
        <w:t xml:space="preserve">The items were written in Chinese. Reporting uses English glosses. A three-item mean (learned much, improves Chinese, sparks interest) had Cronbach’s α = .84 here; it is a local mean, not a validated scale. Stress is the first category on a four-category item, glossed as very high.</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p>
    <w:p>
      <w:pPr>
        <w:pStyle w:val="BodyText"/>
      </w:pPr>
      <w:r>
        <w:t xml:space="preserve">The form said answers would be used for research. Completion was treated as consent. No ethics-committee number exists for the 2022 collection. Identifiers were removed before the public dataset was prepared.</w:t>
      </w:r>
    </w:p>
    <w:p>
      <w:pPr>
        <w:pStyle w:val="BodyText"/>
      </w:pPr>
      <w:r>
        <w:t xml:space="preserve">Frequencies are n/38. Two same-form pairs are given as co-occurrence only: home affects study very much with very high stress (Fisher’s exact test), and speed with the appraisal mean (Spearman’s ρ).</w:t>
      </w:r>
    </w:p>
    <w:bookmarkEnd w:id="22"/>
    <w:bookmarkStart w:id="23" w:name="what-was-marked"/>
    <w:p>
      <w:pPr>
        <w:pStyle w:val="Heading2"/>
      </w:pPr>
      <w:r>
        <w:t xml:space="preserve">3. What was marked</w:t>
      </w:r>
    </w:p>
    <w:p>
      <w:pPr>
        <w:pStyle w:val="FirstParagraph"/>
      </w:pPr>
      <w:r>
        <w:t xml:space="preserve">Table 1 is the background ticks.</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bl>
    <w:p>
      <w:pPr>
        <w:pStyle w:val="BodyText"/>
      </w:pPr>
      <w:r>
        <w:rPr>
          <w:iCs/>
          <w:i/>
        </w:rPr>
        <w:t xml:space="preserve">Note.</w:t>
      </w:r>
      <w:r>
        <w:t xml:space="preserve"> </w:t>
      </w:r>
      <w:r>
        <w:t xml:space="preserve">Wenjuan, 5 to 8 February 2022.</w:t>
      </w:r>
    </w:p>
    <w:p>
      <w:pPr>
        <w:pStyle w:val="BodyText"/>
      </w:pPr>
      <w:r>
        <w:t xml:space="preserve">Table 2 is the home and connection ticks. Four people marked that their country did not have internet, yet all 38 submitted online.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Table 3 is incomplete. Some tools were asked as used for class, some as unusable in my country, some as can use in my country.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not asked in that column.</w:t>
      </w:r>
    </w:p>
    <w:p>
      <w:pPr>
        <w:pStyle w:val="BodyText"/>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speed went with a worse appraisal mean (ρ = .65, percentile bootstrap 95% CI [.36, .84]). Nineteen said online study could replace campus classes; 19 said it could not. Preferred live length was 45 minutes for 19 people and 30 minutes for 11.</w:t>
      </w:r>
    </w:p>
    <w:bookmarkEnd w:id="23"/>
    <w:bookmarkStart w:id="24" w:name="X3f9a06f98ef0a4a81e5ec1f167f6257c9aa4cdb"/>
    <w:p>
      <w:pPr>
        <w:pStyle w:val="Heading2"/>
      </w:pPr>
      <w:r>
        <w:t xml:space="preserve">4. What a Chinese teacher can take from this</w:t>
      </w:r>
    </w:p>
    <w:p>
      <w:pPr>
        <w:pStyle w:val="FirstParagraph"/>
      </w:pPr>
      <w:r>
        <w:t xml:space="preserve">The useful part of the note is Table 2 plus the named tools in Table 3. Xu et al. (2022) could show how teachers adapted characters. These rows show that QQ and Chaoxing were often marked unusable on this form, while Zoom and WhatsApp were more often marked available. A teacher who still requires one campus application can at least ask whether that application opens where the learner sits.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That is worth checking before the first session. It is not a rule for a national program.</w:t>
      </w:r>
    </w:p>
    <w:p>
      <w:pPr>
        <w:pStyle w:val="BodyText"/>
      </w:pPr>
      <w:r>
        <w:t xml:space="preserve">The stress and replacement numbers sit on the same form as the home items. They are not a second finding.</w:t>
      </w:r>
    </w:p>
    <w:bookmarkEnd w:id="24"/>
    <w:bookmarkStart w:id="25" w:name="limits"/>
    <w:p>
      <w:pPr>
        <w:pStyle w:val="Heading2"/>
      </w:pPr>
      <w:r>
        <w:t xml:space="preserve">5. Limits</w:t>
      </w:r>
    </w:p>
    <w:p>
      <w:pPr>
        <w:pStyle w:val="FirstParagraph"/>
      </w:pPr>
      <w:r>
        <w:t xml:space="preserve">Thirty-eight self-selected rows, four days, unknown recruitment, enrollment not verified, no pilot, incomplete platform columns, no ethics number, February 2022. Later hybrid teaching is outside the file.</w:t>
      </w:r>
    </w:p>
    <w:bookmarkEnd w:id="25"/>
    <w:bookmarkStart w:id="26" w:name="references"/>
    <w:p>
      <w:pPr>
        <w:pStyle w:val="Heading2"/>
      </w:pPr>
      <w:r>
        <w:t xml:space="preserve">References</w:t>
      </w:r>
    </w:p>
    <w:p>
      <w:pPr>
        <w:pStyle w:val="FirstParagraph"/>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bookmarkEnd w:id="26"/>
    <w:bookmarkEnd w:id="2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2026-08-24T04:53:46Z</dcterms:created>
  <dcterms:modified xsi:type="dcterms:W3CDTF">2026-08-24T04:53:46Z</dcterms:modified>
</cp:coreProperties>
</file>

<file path=docProps/custom.xml><?xml version="1.0" encoding="utf-8"?>
<Properties xmlns="http://schemas.openxmlformats.org/officeDocument/2006/custom-properties" xmlns:vt="http://schemas.openxmlformats.org/officeDocument/2006/docPropsVTypes"/>
</file>