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9" w:name="X6180d3d6f972a26b23eccbb78377f9f0be3dec6"/>
    <w:p>
      <w:pPr>
        <w:pStyle w:val="Heading1"/>
      </w:pPr>
      <w:r>
        <w:t xml:space="preserve">Home and platform reports from an online Chinese questionnaire</w:t>
      </w:r>
    </w:p>
    <w:p>
      <w:pPr>
        <w:pStyle w:val="FirstParagraph"/>
      </w:pPr>
      <w:r>
        <w:rPr>
          <w:bCs/>
          <w:b/>
        </w:rPr>
        <w:t xml:space="preserve">Short title:</w:t>
      </w:r>
      <w:r>
        <w:t xml:space="preserve"> </w:t>
      </w:r>
      <w:r>
        <w:t xml:space="preserve">Home and platform reports</w:t>
      </w:r>
    </w:p>
    <w:bookmarkStart w:id="20" w:name="abstract"/>
    <w:p>
      <w:pPr>
        <w:pStyle w:val="Heading2"/>
      </w:pPr>
      <w:r>
        <w:t xml:space="preserve">Abstract</w:t>
      </w:r>
    </w:p>
    <w:p>
      <w:pPr>
        <w:pStyle w:val="FirstParagraph"/>
      </w:pPr>
      <w:r>
        <w:t xml:space="preserve">In February 2022, 38 people completed a questionnaire written in Chinese about online Chinese study. The form did not record how the link was shared, and it did not ask university, program, or place of residence. Completing it is not treated as proof of enrollment. Respondents reported unstable networks (29 of 38), power interruptions (16 of 38), and homes that were often not quiet (27 of 38). Fourteen said home conditions affected study very much, and 14 selected very high stress; those two answers often appeared together. Worse reported internet speed went with a more negative view of online learning. QQ and Chaoxing were often marked unusable. Zoom and WhatsApp were more often marked available. Several platform items were not asked in every column, so the table is incomplete. The sample is small and belongs to emergency remote teaching. It does not describe a named course or current hybrid practice.</w:t>
      </w:r>
    </w:p>
    <w:p>
      <w:pPr>
        <w:pStyle w:val="BodyText"/>
      </w:pPr>
      <w:r>
        <w:rPr>
          <w:bCs/>
          <w:b/>
        </w:rPr>
        <w:t xml:space="preserve">Keywords:</w:t>
      </w:r>
      <w:r>
        <w:t xml:space="preserve"> </w:t>
      </w:r>
      <w:r>
        <w:t xml:space="preserve">Chinese; online language teaching; household infrastructure; platform access; emergency remote teaching</w:t>
      </w:r>
    </w:p>
    <w:bookmarkEnd w:id="20"/>
    <w:bookmarkStart w:id="21" w:name="the-challenge"/>
    <w:p>
      <w:pPr>
        <w:pStyle w:val="Heading2"/>
      </w:pPr>
      <w:r>
        <w:t xml:space="preserve">The Challenge</w:t>
      </w:r>
    </w:p>
    <w:p>
      <w:pPr>
        <w:pStyle w:val="FirstParagraph"/>
      </w:pPr>
      <w:r>
        <w:t xml:space="preserve">If a short questionnaire from 2022 already shows unstable connections, power interruptions, and applications marked unusable, what should a teacher still check before treating a live online hour as something every student can join?</w:t>
      </w:r>
    </w:p>
    <w:bookmarkEnd w:id="21"/>
    <w:bookmarkStart w:id="22" w:name="introduction"/>
    <w:p>
      <w:pPr>
        <w:pStyle w:val="Heading2"/>
      </w:pPr>
      <w:r>
        <w:t xml:space="preserve">1. Introduction</w:t>
      </w:r>
    </w:p>
    <w:p>
      <w:pPr>
        <w:pStyle w:val="FirstParagraph"/>
      </w:pPr>
      <w:r>
        <w:t xml:space="preserve">Online language teaching has long assumed that students can join a live session (Gacs et al., 2020; González-Lloret, 2020; Hodges et al., 2020; Payne, 2020). Work from the emergency-remote years, including work on Chinese, noted unstable networks, platforms that were hard to open, thinner talk, and strain (Moser et al., 2021; Russell, 2020; Tao &amp; Gao, 2022; Xu et al., 2022). A device is not the same as being able to take part (Beaunoyer et al., 2020; Warschauer, 2003). Distance language learning had already asked whether a remote class was even feasible (White, 2006).</w:t>
      </w:r>
    </w:p>
    <w:p>
      <w:pPr>
        <w:pStyle w:val="BodyText"/>
      </w:pPr>
      <w:r>
        <w:t xml:space="preserve">Those difficulties are often named in reviews and teacher surveys. They are less often counted from a learner questionnaire. Xu, Jin, Deifell, and Angus (2022) show how character teaching was adapted on the sending side. Jin, Xu, and Deifell (2023) report what faculty thought about pandemic online teaching. The present paper does not repeat those designs. It reports one small form.</w:t>
      </w:r>
    </w:p>
    <w:p>
      <w:pPr>
        <w:pStyle w:val="BodyText"/>
      </w:pPr>
      <w:r>
        <w:t xml:space="preserve">Between 5 and 8 February 2022, 38 people submitted a Wenjuan questionnaire written in Chinese. The export title is Influencing factors in international students’ online Chinese learning during COVID-19. The items are those on that form. The form did not record how the link was circulated. It did not ask host university, city, degree status, or scholarship type. Completing a questionnaire written in Chinese is not treated here as proof that the respondent was enrolled in a Chinese course. Thirty-seven of the 38 selected Pakistani nationality. That box is reported as marked. Residence was not checked, and writing on education in Pakistan is not used as evidence about this group.</w:t>
      </w:r>
    </w:p>
    <w:p>
      <w:pPr>
        <w:pStyle w:val="BodyText"/>
      </w:pPr>
      <w:r>
        <w:t xml:space="preserve">The paper asks one question:</w:t>
      </w:r>
    </w:p>
    <w:p>
      <w:pPr>
        <w:pStyle w:val="BodyText"/>
      </w:pPr>
      <w:r>
        <w:rPr>
          <w:bCs/>
          <w:b/>
        </w:rPr>
        <w:t xml:space="preserve">RQ1.</w:t>
      </w:r>
      <w:r>
        <w:t xml:space="preserve"> </w:t>
      </w:r>
      <w:r>
        <w:t xml:space="preserve">What household, connectivity, and platform-access conditions did these 38 respondents report?</w:t>
      </w:r>
    </w:p>
    <w:p>
      <w:pPr>
        <w:pStyle w:val="BodyText"/>
      </w:pPr>
      <w:r>
        <w:t xml:space="preserve">Other answers on the form are also described: a four-category stress question, a short appraisal of online learning, and a yes/no item on whether online study could replace campus classes. Those answers are counts and same-form associations. They are not a second study.</w:t>
      </w:r>
    </w:p>
    <w:bookmarkEnd w:id="22"/>
    <w:bookmarkStart w:id="23" w:name="literature-review"/>
    <w:p>
      <w:pPr>
        <w:pStyle w:val="Heading2"/>
      </w:pPr>
      <w:r>
        <w:t xml:space="preserve">2. Literature review</w:t>
      </w:r>
    </w:p>
    <w:p>
      <w:pPr>
        <w:pStyle w:val="FirstParagraph"/>
      </w:pPr>
      <w:r>
        <w:t xml:space="preserve">Hodges et al. (2020) distinguished emergency remote teaching from planned online provision. Gacs, Goertler, and Spasova (2020) brought that distinction into language education. In this journal, Russell (2020) treated anxiety as a condition of the online learner, and Xu et al. (2022) documented sending-side adaptation in Chinese character teaching. Later writing asked what should remain of emergency practice and warned against treating a videoconference copy of the classroom as the lesson of the crisis (Moorhouse, 2023; Stockwell &amp; Wang, 2023). Reviews of online Chinese teaching still say more about tools than about household access (Li &amp; Li, 2024; Xu, 2024).</w:t>
      </w:r>
    </w:p>
    <w:p>
      <w:pPr>
        <w:pStyle w:val="BodyText"/>
      </w:pPr>
      <w:r>
        <w:t xml:space="preserve">Digital-divide work separates owning a device from being able to use it (van Dijk, 2020; Warschauer, 2003). The present questionnaire asked about power, network stability, speed, the quiet of the home, and whether named applications could be used. It did not measure skills, institutional rules, or whether a platform was blocked. Those later readings are background for the items. They are not tested here.</w:t>
      </w:r>
    </w:p>
    <w:bookmarkEnd w:id="23"/>
    <w:bookmarkStart w:id="28" w:name="methods"/>
    <w:p>
      <w:pPr>
        <w:pStyle w:val="Heading2"/>
      </w:pPr>
      <w:r>
        <w:t xml:space="preserve">3. Methods</w:t>
      </w:r>
    </w:p>
    <w:p>
      <w:pPr>
        <w:pStyle w:val="FirstParagraph"/>
      </w:pPr>
      <w:r>
        <w:t xml:space="preserve">The study is a secondary analysis of a one-shot questionnaire. There was no recorded pilot and no separate validation study.</w:t>
      </w:r>
    </w:p>
    <w:bookmarkStart w:id="24" w:name="participants"/>
    <w:p>
      <w:pPr>
        <w:pStyle w:val="Heading3"/>
      </w:pPr>
      <w:r>
        <w:t xml:space="preserve">3.1 Participants</w:t>
      </w:r>
    </w:p>
    <w:p>
      <w:pPr>
        <w:pStyle w:val="FirstParagraph"/>
      </w:pPr>
      <w:r>
        <w:t xml:space="preserve">Thirty-eight complete rows remain. Twenty-seven respondents were men and 11 were women. Thirty-seven selected Pakistani nationality. Self-rated Chinese level was advanced for 22, intermediate for 15, and beginner for one. The label is the respondent’s own, not an official band. Years of learning Chinese clustered at three to four years (26 of 38). Twenty-seven said required courses were online, and 23 said electives were online. Thirty said all of their Chinese classes were online. Twenty-two said they were working while studying. Those answers describe what was marked. They do not identify a named program.</w:t>
      </w:r>
    </w:p>
    <w:p>
      <w:pPr>
        <w:pStyle w:val="BodyText"/>
      </w:pPr>
      <w:r>
        <w:t xml:space="preserve">Wenjuan classified the submission operating system as iPhone (24) or Android (14). That is the device used to send the form, not a list of devices used for class. An IP-province field was also stored. Nine labels were mainland China province names. IP labels can be moved by a virtual private network or proxy. They are not used here as a location variable and are not in the public dataset.</w:t>
      </w:r>
    </w:p>
    <w:bookmarkEnd w:id="24"/>
    <w:bookmarkStart w:id="25" w:name="instrument-and-collection"/>
    <w:p>
      <w:pPr>
        <w:pStyle w:val="Heading3"/>
      </w:pPr>
      <w:r>
        <w:t xml:space="preserve">3.2 Instrument and collection</w:t>
      </w:r>
    </w:p>
    <w:p>
      <w:pPr>
        <w:pStyle w:val="FirstParagraph"/>
      </w:pPr>
      <w:r>
        <w:t xml:space="preserve">Complete cases were submitted between 5 and 8 February 2022. The questionnaire had about 30 items: demographics, single-choice ordinals, and multiple-response lists. The items were written in Chinese. Some wording was non-native. Reporting uses English glosses. There was no comprehension check.</w:t>
      </w:r>
    </w:p>
    <w:p>
      <w:pPr>
        <w:pStyle w:val="BodyText"/>
      </w:pPr>
      <w:r>
        <w:t xml:space="preserve">A three-item appraisal index was formed from learned much (Q8), improves Chinese (Q9), and sparks interest (Q10). Cronbach’s α was .84 in this sample. The index is a descriptive mean, not a validated scale. Coding follows the export: higher values on speed and on the three appraisal items indicate a worse report. Stress (Q24) is a four-category item.</w:t>
      </w:r>
      <w:r>
        <w:t xml:space="preserve"> </w:t>
      </w:r>
      <w:r>
        <w:rPr>
          <w:iCs/>
          <w:i/>
        </w:rPr>
        <w:t xml:space="preserve">Very high stress</w:t>
      </w:r>
      <w:r>
        <w:t xml:space="preserve"> </w:t>
      </w:r>
      <w:r>
        <w:t xml:space="preserve">is the first category on the form, not a clinical cut. One multiple-response option was labeled</w:t>
      </w:r>
      <w:r>
        <w:t xml:space="preserve"> </w:t>
      </w:r>
      <w:r>
        <w:t xml:space="preserve">“</w:t>
      </w:r>
      <w:r>
        <w:t xml:space="preserve">no electricity</w:t>
      </w:r>
      <w:r>
        <w:t xml:space="preserve">”</w:t>
      </w:r>
      <w:r>
        <w:t xml:space="preserve"> </w:t>
      </w:r>
      <w:r>
        <w:t xml:space="preserve">on the export; results say</w:t>
      </w:r>
      <w:r>
        <w:t xml:space="preserve"> </w:t>
      </w:r>
      <w:r>
        <w:rPr>
          <w:iCs/>
          <w:i/>
        </w:rPr>
        <w:t xml:space="preserve">power interruptions</w:t>
      </w:r>
      <w:r>
        <w:t xml:space="preserve">. Chinese MOOC is reported as printed on the form.</w:t>
      </w:r>
    </w:p>
    <w:bookmarkEnd w:id="25"/>
    <w:bookmarkStart w:id="26" w:name="analysis"/>
    <w:p>
      <w:pPr>
        <w:pStyle w:val="Heading3"/>
      </w:pPr>
      <w:r>
        <w:t xml:space="preserve">3.3 Analysis</w:t>
      </w:r>
    </w:p>
    <w:p>
      <w:pPr>
        <w:pStyle w:val="FirstParagraph"/>
      </w:pPr>
      <w:r>
        <w:t xml:space="preserve">Household and platform answers are frequencies (Tables 1 to 3). Two same-form associations are also given: home affects study very much with very high stress (two-sided Fisher’s exact test), and internet speed with the appraisal index (Spearman’s ρ, percentile bootstrap 95% confidence interval, 5,000 resamples). The replacement item is a count. Odds ratios are not reported. Frequencies are n/38 unless noted. Multiple-response items are the share who selected the option.</w:t>
      </w:r>
    </w:p>
    <w:bookmarkEnd w:id="26"/>
    <w:bookmarkStart w:id="27" w:name="ethics"/>
    <w:p>
      <w:pPr>
        <w:pStyle w:val="Heading3"/>
      </w:pPr>
      <w:r>
        <w:t xml:space="preserve">3.4 Ethics</w:t>
      </w:r>
    </w:p>
    <w:p>
      <w:pPr>
        <w:pStyle w:val="FirstParagraph"/>
      </w:pPr>
      <w:r>
        <w:t xml:space="preserve">The form was presented as research on online Chinese learning and said that answers would be used for research. Completion and submission were treated as consent. No institutional ethics approval number is available for the 2022 collection. The first author was then a master’s student, and numbered approval was not obtained. Names, IP addresses, exact timestamps, and device identifiers were removed before the public dataset was prepared. No new data were collected.</w:t>
      </w:r>
    </w:p>
    <w:bookmarkEnd w:id="27"/>
    <w:bookmarkEnd w:id="28"/>
    <w:bookmarkStart w:id="32" w:name="results"/>
    <w:p>
      <w:pPr>
        <w:pStyle w:val="Heading2"/>
      </w:pPr>
      <w:r>
        <w:t xml:space="preserve">4. Results</w:t>
      </w:r>
    </w:p>
    <w:bookmarkStart w:id="29" w:name="Xde1493b68d584d3ae1d49aefd1652d63a9010bf"/>
    <w:p>
      <w:pPr>
        <w:pStyle w:val="Heading3"/>
      </w:pPr>
      <w:r>
        <w:t xml:space="preserve">4.1 Who answered, and what they reported at home</w:t>
      </w:r>
    </w:p>
    <w:p>
      <w:pPr>
        <w:pStyle w:val="FirstParagraph"/>
      </w:pPr>
      <w:r>
        <w:t xml:space="preserve">Table 1 summarizes the marked background items.</w:t>
      </w:r>
    </w:p>
    <w:p>
      <w:pPr>
        <w:pStyle w:val="BodyText"/>
      </w:pPr>
      <w:r>
        <w:rPr>
          <w:bCs/>
          <w:b/>
        </w:rPr>
        <w:t xml:space="preserve">Table 1</w:t>
      </w:r>
    </w:p>
    <w:p>
      <w:pPr>
        <w:pStyle w:val="BodyText"/>
      </w:pPr>
      <w:r>
        <w:rPr>
          <w:iCs/>
          <w:i/>
        </w:rPr>
        <w:t xml:space="preserve">Respondents (N = 38)</w:t>
      </w:r>
    </w:p>
    <w:tbl>
      <w:tblPr>
        <w:tblStyle w:val="Table"/>
        <w:tblW w:type="pct" w:w="5000"/>
        <w:tblLook w:firstRow="1" w:lastRow="0" w:firstColumn="0" w:lastColumn="0" w:noHBand="0" w:noVBand="0" w:val="0020"/>
        <w:jc w:val="start"/>
      </w:tblPr>
      <w:tblGrid>
        <w:gridCol w:w="2160"/>
        <w:gridCol w:w="2880"/>
        <w:gridCol w:w="2880"/>
      </w:tblGrid>
      <w:tr>
        <w:trPr>
          <w:tblHeader w:val="true"/>
        </w:trPr>
        <w:tc>
          <w:tcPr/>
          <w:p>
            <w:pPr>
              <w:pStyle w:val="Compact"/>
              <w:jc w:val="left"/>
            </w:pPr>
            <w:r>
              <w:t xml:space="preserve">Variable</w:t>
            </w:r>
          </w:p>
        </w:tc>
        <w:tc>
          <w:tcPr/>
          <w:p>
            <w:pPr>
              <w:pStyle w:val="Compact"/>
              <w:jc w:val="right"/>
            </w:pPr>
            <w:r>
              <w:t xml:space="preserve">n</w:t>
            </w:r>
          </w:p>
        </w:tc>
        <w:tc>
          <w:tcPr/>
          <w:p>
            <w:pPr>
              <w:pStyle w:val="Compact"/>
              <w:jc w:val="right"/>
            </w:pPr>
            <w:r>
              <w:t xml:space="preserve">%</w:t>
            </w:r>
          </w:p>
        </w:tc>
      </w:tr>
      <w:tr>
        <w:tc>
          <w:tcPr/>
          <w:p>
            <w:pPr>
              <w:pStyle w:val="Compact"/>
              <w:jc w:val="left"/>
            </w:pPr>
            <w:r>
              <w:t xml:space="preserve">Male</w:t>
            </w:r>
          </w:p>
        </w:tc>
        <w:tc>
          <w:tcPr/>
          <w:p>
            <w:pPr>
              <w:pStyle w:val="Compact"/>
              <w:jc w:val="right"/>
            </w:pPr>
            <w:r>
              <w:t xml:space="preserve">27</w:t>
            </w:r>
          </w:p>
        </w:tc>
        <w:tc>
          <w:tcPr/>
          <w:p>
            <w:pPr>
              <w:pStyle w:val="Compact"/>
              <w:jc w:val="right"/>
            </w:pPr>
            <w:r>
              <w:t xml:space="preserve">71.1</w:t>
            </w:r>
          </w:p>
        </w:tc>
      </w:tr>
      <w:tr>
        <w:tc>
          <w:tcPr/>
          <w:p>
            <w:pPr>
              <w:pStyle w:val="Compact"/>
              <w:jc w:val="left"/>
            </w:pPr>
            <w:r>
              <w:t xml:space="preserve">Female</w:t>
            </w:r>
          </w:p>
        </w:tc>
        <w:tc>
          <w:tcPr/>
          <w:p>
            <w:pPr>
              <w:pStyle w:val="Compact"/>
              <w:jc w:val="right"/>
            </w:pPr>
            <w:r>
              <w:t xml:space="preserve">11</w:t>
            </w:r>
          </w:p>
        </w:tc>
        <w:tc>
          <w:tcPr/>
          <w:p>
            <w:pPr>
              <w:pStyle w:val="Compact"/>
              <w:jc w:val="right"/>
            </w:pPr>
            <w:r>
              <w:t xml:space="preserve">28.9</w:t>
            </w:r>
          </w:p>
        </w:tc>
      </w:tr>
      <w:tr>
        <w:tc>
          <w:tcPr/>
          <w:p>
            <w:pPr>
              <w:pStyle w:val="Compact"/>
              <w:jc w:val="left"/>
            </w:pPr>
            <w:r>
              <w:t xml:space="preserve">Pakistani nationality</w:t>
            </w:r>
          </w:p>
        </w:tc>
        <w:tc>
          <w:tcPr/>
          <w:p>
            <w:pPr>
              <w:pStyle w:val="Compact"/>
              <w:jc w:val="right"/>
            </w:pPr>
            <w:r>
              <w:t xml:space="preserve">37</w:t>
            </w:r>
          </w:p>
        </w:tc>
        <w:tc>
          <w:tcPr/>
          <w:p>
            <w:pPr>
              <w:pStyle w:val="Compact"/>
              <w:jc w:val="right"/>
            </w:pPr>
            <w:r>
              <w:t xml:space="preserve">97.4</w:t>
            </w:r>
          </w:p>
        </w:tc>
      </w:tr>
      <w:tr>
        <w:tc>
          <w:tcPr/>
          <w:p>
            <w:pPr>
              <w:pStyle w:val="Compact"/>
              <w:jc w:val="left"/>
            </w:pPr>
            <w:r>
              <w:t xml:space="preserve">Other</w:t>
            </w:r>
          </w:p>
        </w:tc>
        <w:tc>
          <w:tcPr/>
          <w:p>
            <w:pPr>
              <w:pStyle w:val="Compact"/>
              <w:jc w:val="right"/>
            </w:pPr>
            <w:r>
              <w:t xml:space="preserve">1</w:t>
            </w:r>
          </w:p>
        </w:tc>
        <w:tc>
          <w:tcPr/>
          <w:p>
            <w:pPr>
              <w:pStyle w:val="Compact"/>
              <w:jc w:val="right"/>
            </w:pPr>
            <w:r>
              <w:t xml:space="preserve">2.6</w:t>
            </w:r>
          </w:p>
        </w:tc>
      </w:tr>
      <w:tr>
        <w:tc>
          <w:tcPr/>
          <w:p>
            <w:pPr>
              <w:pStyle w:val="Compact"/>
              <w:jc w:val="left"/>
            </w:pPr>
            <w:r>
              <w:t xml:space="preserve">Beginner / intermediate / advanced Chinese (self-rating)</w:t>
            </w:r>
          </w:p>
        </w:tc>
        <w:tc>
          <w:tcPr/>
          <w:p>
            <w:pPr>
              <w:pStyle w:val="Compact"/>
              <w:jc w:val="right"/>
            </w:pPr>
            <w:r>
              <w:t xml:space="preserve">1 / 15 / 22</w:t>
            </w:r>
          </w:p>
        </w:tc>
        <w:tc>
          <w:tcPr/>
          <w:p>
            <w:pPr>
              <w:pStyle w:val="Compact"/>
              <w:jc w:val="right"/>
            </w:pPr>
            <w:r>
              <w:t xml:space="preserve">2.6 / 39.5 / 57.9</w:t>
            </w:r>
          </w:p>
        </w:tc>
      </w:tr>
      <w:tr>
        <w:tc>
          <w:tcPr/>
          <w:p>
            <w:pPr>
              <w:pStyle w:val="Compact"/>
              <w:jc w:val="left"/>
            </w:pPr>
            <w:r>
              <w:t xml:space="preserve">Years of Chinese: 1 to 2 / 3 to 4 / 5 to 6 / 6+</w:t>
            </w:r>
          </w:p>
        </w:tc>
        <w:tc>
          <w:tcPr/>
          <w:p>
            <w:pPr>
              <w:pStyle w:val="Compact"/>
              <w:jc w:val="right"/>
            </w:pPr>
            <w:r>
              <w:t xml:space="preserve">3 / 26 / 8 / 1</w:t>
            </w:r>
          </w:p>
        </w:tc>
        <w:tc>
          <w:tcPr/>
          <w:p>
            <w:pPr>
              <w:pStyle w:val="Compact"/>
              <w:jc w:val="right"/>
            </w:pPr>
            <w:r>
              <w:t xml:space="preserve">7.9 / 68.4 / 21.1 / 2.6</w:t>
            </w:r>
          </w:p>
        </w:tc>
      </w:tr>
      <w:tr>
        <w:tc>
          <w:tcPr/>
          <w:p>
            <w:pPr>
              <w:pStyle w:val="Compact"/>
              <w:jc w:val="left"/>
            </w:pPr>
            <w:r>
              <w:t xml:space="preserve">All Chinese classes online</w:t>
            </w:r>
          </w:p>
        </w:tc>
        <w:tc>
          <w:tcPr/>
          <w:p>
            <w:pPr>
              <w:pStyle w:val="Compact"/>
              <w:jc w:val="right"/>
            </w:pPr>
            <w:r>
              <w:t xml:space="preserve">30</w:t>
            </w:r>
          </w:p>
        </w:tc>
        <w:tc>
          <w:tcPr/>
          <w:p>
            <w:pPr>
              <w:pStyle w:val="Compact"/>
              <w:jc w:val="right"/>
            </w:pPr>
            <w:r>
              <w:t xml:space="preserve">78.9</w:t>
            </w:r>
          </w:p>
        </w:tc>
      </w:tr>
      <w:tr>
        <w:tc>
          <w:tcPr/>
          <w:p>
            <w:pPr>
              <w:pStyle w:val="Compact"/>
              <w:jc w:val="left"/>
            </w:pPr>
            <w:r>
              <w:t xml:space="preserve">Working while studying</w:t>
            </w:r>
          </w:p>
        </w:tc>
        <w:tc>
          <w:tcPr/>
          <w:p>
            <w:pPr>
              <w:pStyle w:val="Compact"/>
              <w:jc w:val="right"/>
            </w:pPr>
            <w:r>
              <w:t xml:space="preserve">22</w:t>
            </w:r>
          </w:p>
        </w:tc>
        <w:tc>
          <w:tcPr/>
          <w:p>
            <w:pPr>
              <w:pStyle w:val="Compact"/>
              <w:jc w:val="right"/>
            </w:pPr>
            <w:r>
              <w:t xml:space="preserve">57.9</w:t>
            </w:r>
          </w:p>
        </w:tc>
      </w:tr>
      <w:tr>
        <w:tc>
          <w:tcPr/>
          <w:p>
            <w:pPr>
              <w:pStyle w:val="Compact"/>
              <w:jc w:val="left"/>
            </w:pPr>
            <w:r>
              <w:t xml:space="preserve">Submission device: iPhone / Android</w:t>
            </w:r>
          </w:p>
        </w:tc>
        <w:tc>
          <w:tcPr/>
          <w:p>
            <w:pPr>
              <w:pStyle w:val="Compact"/>
              <w:jc w:val="right"/>
            </w:pPr>
            <w:r>
              <w:t xml:space="preserve">24 / 14</w:t>
            </w:r>
          </w:p>
        </w:tc>
        <w:tc>
          <w:tcPr/>
          <w:p>
            <w:pPr>
              <w:pStyle w:val="Compact"/>
              <w:jc w:val="right"/>
            </w:pPr>
            <w:r>
              <w:t xml:space="preserve">63.2 / 36.8</w:t>
            </w:r>
          </w:p>
        </w:tc>
      </w:tr>
      <w:tr>
        <w:tc>
          <w:tcPr/>
          <w:p>
            <w:pPr>
              <w:pStyle w:val="Compact"/>
              <w:jc w:val="left"/>
            </w:pPr>
            <w:r>
              <w:t xml:space="preserve">Total</w:t>
            </w:r>
          </w:p>
        </w:tc>
        <w:tc>
          <w:tcPr/>
          <w:p>
            <w:pPr>
              <w:pStyle w:val="Compact"/>
              <w:jc w:val="right"/>
            </w:pPr>
            <w:r>
              <w:t xml:space="preserve">38</w:t>
            </w:r>
          </w:p>
        </w:tc>
        <w:tc>
          <w:tcPr/>
          <w:p>
            <w:pPr>
              <w:pStyle w:val="Compact"/>
              <w:jc w:val="right"/>
            </w:pPr>
            <w:r>
              <w:t xml:space="preserve">100</w:t>
            </w:r>
          </w:p>
        </w:tc>
      </w:tr>
    </w:tbl>
    <w:p>
      <w:pPr>
        <w:pStyle w:val="BodyText"/>
      </w:pPr>
      <w:r>
        <w:rPr>
          <w:iCs/>
          <w:i/>
        </w:rPr>
        <w:t xml:space="preserve">Note.</w:t>
      </w:r>
      <w:r>
        <w:t xml:space="preserve"> </w:t>
      </w:r>
      <w:r>
        <w:t xml:space="preserve">Wenjuan, 5 to 8 February 2022. Device is the operating system recorded at submission.</w:t>
      </w:r>
    </w:p>
    <w:p>
      <w:pPr>
        <w:pStyle w:val="BodyText"/>
      </w:pPr>
      <w:r>
        <w:t xml:space="preserve">Table 2 gives the household and connectivity reports. Twenty-nine of 38 marked an unstable network. Sixteen marked power interruptions. Twenty-seven said the home was not quiet. Fourteen said the home affected study very much, and 14 selected very high stress. Four people marked that their country did not have internet, yet all 38 submitted an online form. The wording does not allow a firm rereading, so that answer is left as marked.</w:t>
      </w:r>
    </w:p>
    <w:p>
      <w:pPr>
        <w:pStyle w:val="BodyText"/>
      </w:pPr>
      <w:r>
        <w:rPr>
          <w:bCs/>
          <w:b/>
        </w:rPr>
        <w:t xml:space="preserve">Table 2</w:t>
      </w:r>
    </w:p>
    <w:p>
      <w:pPr>
        <w:pStyle w:val="BodyText"/>
      </w:pPr>
      <w:r>
        <w:rPr>
          <w:iCs/>
          <w:i/>
        </w:rPr>
        <w:t xml:space="preserve">Reported conditions and selected other items (N = 38)</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Indicator</w:t>
            </w:r>
          </w:p>
        </w:tc>
        <w:tc>
          <w:tcPr/>
          <w:p>
            <w:pPr>
              <w:pStyle w:val="Compact"/>
              <w:jc w:val="right"/>
            </w:pPr>
            <w:r>
              <w:t xml:space="preserve">n</w:t>
            </w:r>
          </w:p>
        </w:tc>
        <w:tc>
          <w:tcPr/>
          <w:p>
            <w:pPr>
              <w:pStyle w:val="Compact"/>
              <w:jc w:val="right"/>
            </w:pPr>
            <w:r>
              <w:t xml:space="preserve">%</w:t>
            </w:r>
          </w:p>
        </w:tc>
      </w:tr>
      <w:tr>
        <w:tc>
          <w:tcPr/>
          <w:p>
            <w:pPr>
              <w:pStyle w:val="Compact"/>
              <w:jc w:val="left"/>
            </w:pPr>
            <w:r>
              <w:t xml:space="preserve">Unstable network</w:t>
            </w:r>
          </w:p>
        </w:tc>
        <w:tc>
          <w:tcPr/>
          <w:p>
            <w:pPr>
              <w:pStyle w:val="Compact"/>
              <w:jc w:val="right"/>
            </w:pPr>
            <w:r>
              <w:t xml:space="preserve">29</w:t>
            </w:r>
          </w:p>
        </w:tc>
        <w:tc>
          <w:tcPr/>
          <w:p>
            <w:pPr>
              <w:pStyle w:val="Compact"/>
              <w:jc w:val="right"/>
            </w:pPr>
            <w:r>
              <w:t xml:space="preserve">76.3</w:t>
            </w:r>
          </w:p>
        </w:tc>
      </w:tr>
      <w:tr>
        <w:tc>
          <w:tcPr/>
          <w:p>
            <w:pPr>
              <w:pStyle w:val="Compact"/>
              <w:jc w:val="left"/>
            </w:pPr>
            <w:r>
              <w:t xml:space="preserve">Power interruptions (export label: no electricity)</w:t>
            </w:r>
          </w:p>
        </w:tc>
        <w:tc>
          <w:tcPr/>
          <w:p>
            <w:pPr>
              <w:pStyle w:val="Compact"/>
              <w:jc w:val="right"/>
            </w:pPr>
            <w:r>
              <w:t xml:space="preserve">16</w:t>
            </w:r>
          </w:p>
        </w:tc>
        <w:tc>
          <w:tcPr/>
          <w:p>
            <w:pPr>
              <w:pStyle w:val="Compact"/>
              <w:jc w:val="right"/>
            </w:pPr>
            <w:r>
              <w:t xml:space="preserve">42.1</w:t>
            </w:r>
          </w:p>
        </w:tc>
      </w:tr>
      <w:tr>
        <w:tc>
          <w:tcPr/>
          <w:p>
            <w:pPr>
              <w:pStyle w:val="Compact"/>
              <w:jc w:val="left"/>
            </w:pPr>
            <w:r>
              <w:t xml:space="preserve">No signal</w:t>
            </w:r>
          </w:p>
        </w:tc>
        <w:tc>
          <w:tcPr/>
          <w:p>
            <w:pPr>
              <w:pStyle w:val="Compact"/>
              <w:jc w:val="right"/>
            </w:pPr>
            <w:r>
              <w:t xml:space="preserve">12</w:t>
            </w:r>
          </w:p>
        </w:tc>
        <w:tc>
          <w:tcPr/>
          <w:p>
            <w:pPr>
              <w:pStyle w:val="Compact"/>
              <w:jc w:val="right"/>
            </w:pPr>
            <w:r>
              <w:t xml:space="preserve">31.6</w:t>
            </w:r>
          </w:p>
        </w:tc>
      </w:tr>
      <w:tr>
        <w:tc>
          <w:tcPr/>
          <w:p>
            <w:pPr>
              <w:pStyle w:val="Compact"/>
              <w:jc w:val="left"/>
            </w:pPr>
            <w:r>
              <w:t xml:space="preserve">Internet speed poor or very poor</w:t>
            </w:r>
          </w:p>
        </w:tc>
        <w:tc>
          <w:tcPr/>
          <w:p>
            <w:pPr>
              <w:pStyle w:val="Compact"/>
              <w:jc w:val="right"/>
            </w:pPr>
            <w:r>
              <w:t xml:space="preserve">10</w:t>
            </w:r>
          </w:p>
        </w:tc>
        <w:tc>
          <w:tcPr/>
          <w:p>
            <w:pPr>
              <w:pStyle w:val="Compact"/>
              <w:jc w:val="right"/>
            </w:pPr>
            <w:r>
              <w:t xml:space="preserve">26.3</w:t>
            </w:r>
          </w:p>
        </w:tc>
      </w:tr>
      <w:tr>
        <w:tc>
          <w:tcPr/>
          <w:p>
            <w:pPr>
              <w:pStyle w:val="Compact"/>
              <w:jc w:val="left"/>
            </w:pPr>
            <w:r>
              <w:t xml:space="preserve">Home not quiet</w:t>
            </w:r>
          </w:p>
        </w:tc>
        <w:tc>
          <w:tcPr/>
          <w:p>
            <w:pPr>
              <w:pStyle w:val="Compact"/>
              <w:jc w:val="right"/>
            </w:pPr>
            <w:r>
              <w:t xml:space="preserve">27</w:t>
            </w:r>
          </w:p>
        </w:tc>
        <w:tc>
          <w:tcPr/>
          <w:p>
            <w:pPr>
              <w:pStyle w:val="Compact"/>
              <w:jc w:val="right"/>
            </w:pPr>
            <w:r>
              <w:t xml:space="preserve">71.1</w:t>
            </w:r>
          </w:p>
        </w:tc>
      </w:tr>
      <w:tr>
        <w:tc>
          <w:tcPr/>
          <w:p>
            <w:pPr>
              <w:pStyle w:val="Compact"/>
              <w:jc w:val="left"/>
            </w:pPr>
            <w:r>
              <w:t xml:space="preserve">Home affects study very much</w:t>
            </w:r>
          </w:p>
        </w:tc>
        <w:tc>
          <w:tcPr/>
          <w:p>
            <w:pPr>
              <w:pStyle w:val="Compact"/>
              <w:jc w:val="right"/>
            </w:pPr>
            <w:r>
              <w:t xml:space="preserve">14</w:t>
            </w:r>
          </w:p>
        </w:tc>
        <w:tc>
          <w:tcPr/>
          <w:p>
            <w:pPr>
              <w:pStyle w:val="Compact"/>
              <w:jc w:val="right"/>
            </w:pPr>
            <w:r>
              <w:t xml:space="preserve">36.8</w:t>
            </w:r>
          </w:p>
        </w:tc>
      </w:tr>
      <w:tr>
        <w:tc>
          <w:tcPr/>
          <w:p>
            <w:pPr>
              <w:pStyle w:val="Compact"/>
              <w:jc w:val="left"/>
            </w:pPr>
            <w:r>
              <w:t xml:space="preserve">Very high psychological stress</w:t>
            </w:r>
          </w:p>
        </w:tc>
        <w:tc>
          <w:tcPr/>
          <w:p>
            <w:pPr>
              <w:pStyle w:val="Compact"/>
              <w:jc w:val="right"/>
            </w:pPr>
            <w:r>
              <w:t xml:space="preserve">14</w:t>
            </w:r>
          </w:p>
        </w:tc>
        <w:tc>
          <w:tcPr/>
          <w:p>
            <w:pPr>
              <w:pStyle w:val="Compact"/>
              <w:jc w:val="right"/>
            </w:pPr>
            <w:r>
              <w:t xml:space="preserve">36.8</w:t>
            </w:r>
          </w:p>
        </w:tc>
      </w:tr>
      <w:tr>
        <w:tc>
          <w:tcPr/>
          <w:p>
            <w:pPr>
              <w:pStyle w:val="Compact"/>
              <w:jc w:val="left"/>
            </w:pPr>
            <w:r>
              <w:t xml:space="preserve">Online cannot replace face-to-face</w:t>
            </w:r>
          </w:p>
        </w:tc>
        <w:tc>
          <w:tcPr/>
          <w:p>
            <w:pPr>
              <w:pStyle w:val="Compact"/>
              <w:jc w:val="right"/>
            </w:pPr>
            <w:r>
              <w:t xml:space="preserve">19</w:t>
            </w:r>
          </w:p>
        </w:tc>
        <w:tc>
          <w:tcPr/>
          <w:p>
            <w:pPr>
              <w:pStyle w:val="Compact"/>
              <w:jc w:val="right"/>
            </w:pPr>
            <w:r>
              <w:t xml:space="preserve">50.0</w:t>
            </w:r>
          </w:p>
        </w:tc>
      </w:tr>
      <w:tr>
        <w:tc>
          <w:tcPr/>
          <w:p>
            <w:pPr>
              <w:pStyle w:val="Compact"/>
              <w:jc w:val="left"/>
            </w:pPr>
            <w:r>
              <w:t xml:space="preserve">Learned little or nothing online</w:t>
            </w:r>
          </w:p>
        </w:tc>
        <w:tc>
          <w:tcPr/>
          <w:p>
            <w:pPr>
              <w:pStyle w:val="Compact"/>
              <w:jc w:val="right"/>
            </w:pPr>
            <w:r>
              <w:t xml:space="preserve">11</w:t>
            </w:r>
          </w:p>
        </w:tc>
        <w:tc>
          <w:tcPr/>
          <w:p>
            <w:pPr>
              <w:pStyle w:val="Compact"/>
              <w:jc w:val="right"/>
            </w:pPr>
            <w:r>
              <w:t xml:space="preserve">28.9</w:t>
            </w:r>
          </w:p>
        </w:tc>
      </w:tr>
    </w:tbl>
    <w:bookmarkEnd w:id="29"/>
    <w:bookmarkStart w:id="30" w:name="platform-items"/>
    <w:p>
      <w:pPr>
        <w:pStyle w:val="Heading3"/>
      </w:pPr>
      <w:r>
        <w:t xml:space="preserve">4.2 Platform items</w:t>
      </w:r>
    </w:p>
    <w:p>
      <w:pPr>
        <w:pStyle w:val="FirstParagraph"/>
      </w:pPr>
      <w:r>
        <w:t xml:space="preserve">Table 3 is incomplete by design. Some platforms were asked as</w:t>
      </w:r>
      <w:r>
        <w:t xml:space="preserve"> </w:t>
      </w:r>
      <w:r>
        <w:t xml:space="preserve">“</w:t>
      </w:r>
      <w:r>
        <w:t xml:space="preserve">used for class,</w:t>
      </w:r>
      <w:r>
        <w:t xml:space="preserve">”</w:t>
      </w:r>
      <w:r>
        <w:t xml:space="preserve"> </w:t>
      </w:r>
      <w:r>
        <w:t xml:space="preserve">some as</w:t>
      </w:r>
      <w:r>
        <w:t xml:space="preserve"> </w:t>
      </w:r>
      <w:r>
        <w:t xml:space="preserve">“</w:t>
      </w:r>
      <w:r>
        <w:t xml:space="preserve">unusable in my country,</w:t>
      </w:r>
      <w:r>
        <w:t xml:space="preserve">”</w:t>
      </w:r>
      <w:r>
        <w:t xml:space="preserve"> </w:t>
      </w:r>
      <w:r>
        <w:t xml:space="preserve">and some as</w:t>
      </w:r>
      <w:r>
        <w:t xml:space="preserve"> </w:t>
      </w:r>
      <w:r>
        <w:t xml:space="preserve">“</w:t>
      </w:r>
      <w:r>
        <w:t xml:space="preserve">can use in my country.</w:t>
      </w:r>
      <w:r>
        <w:t xml:space="preserve">”</w:t>
      </w:r>
      <w:r>
        <w:t xml:space="preserve"> </w:t>
      </w:r>
      <w:r>
        <w:t xml:space="preserve">WhatsApp has no used-for-class column. QQ, Chaoxing, DingTalk, and Chinese MOOC have no used-for-class column. Tencent Meeting was the most marked class tool (71.1%) and was marked available by fewer respondents (57.9%). That mismatch is left as an item problem. The table cannot separate country rules, routing, accounts, skills, or a virtual private network.</w:t>
      </w:r>
    </w:p>
    <w:p>
      <w:pPr>
        <w:pStyle w:val="BodyText"/>
      </w:pPr>
      <w:r>
        <w:rPr>
          <w:bCs/>
          <w:b/>
        </w:rPr>
        <w:t xml:space="preserve">Table 3</w:t>
      </w:r>
    </w:p>
    <w:p>
      <w:pPr>
        <w:pStyle w:val="BodyText"/>
      </w:pPr>
      <w:r>
        <w:rPr>
          <w:iCs/>
          <w:i/>
        </w:rPr>
        <w:t xml:space="preserve">Platform items as asked (multiple response, N = 38)</w:t>
      </w:r>
    </w:p>
    <w:tbl>
      <w:tblPr>
        <w:tblStyle w:val="Table"/>
        <w:tblW w:type="pct" w:w="5000"/>
        <w:tblLook w:firstRow="1" w:lastRow="0" w:firstColumn="0" w:lastColumn="0" w:noHBand="0" w:noVBand="0" w:val="0020"/>
        <w:jc w:val="start"/>
      </w:tblPr>
      <w:tblGrid>
        <w:gridCol w:w="1584"/>
        <w:gridCol w:w="2112"/>
        <w:gridCol w:w="2112"/>
        <w:gridCol w:w="2112"/>
      </w:tblGrid>
      <w:tr>
        <w:trPr>
          <w:tblHeader w:val="true"/>
        </w:trPr>
        <w:tc>
          <w:tcPr/>
          <w:p>
            <w:pPr>
              <w:pStyle w:val="Compact"/>
              <w:jc w:val="left"/>
            </w:pPr>
            <w:r>
              <w:t xml:space="preserve">Platform</w:t>
            </w:r>
          </w:p>
        </w:tc>
        <w:tc>
          <w:tcPr/>
          <w:p>
            <w:pPr>
              <w:pStyle w:val="Compact"/>
              <w:jc w:val="right"/>
            </w:pPr>
            <w:r>
              <w:t xml:space="preserve">Used for class</w:t>
            </w:r>
          </w:p>
        </w:tc>
        <w:tc>
          <w:tcPr/>
          <w:p>
            <w:pPr>
              <w:pStyle w:val="Compact"/>
              <w:jc w:val="right"/>
            </w:pPr>
            <w:r>
              <w:t xml:space="preserve">Marked unusable in my country</w:t>
            </w:r>
          </w:p>
        </w:tc>
        <w:tc>
          <w:tcPr/>
          <w:p>
            <w:pPr>
              <w:pStyle w:val="Compact"/>
              <w:jc w:val="right"/>
            </w:pPr>
            <w:r>
              <w:t xml:space="preserve">Can use in my country</w:t>
            </w:r>
          </w:p>
        </w:tc>
      </w:tr>
      <w:tr>
        <w:tc>
          <w:tcPr/>
          <w:p>
            <w:pPr>
              <w:pStyle w:val="Compact"/>
              <w:jc w:val="left"/>
            </w:pPr>
            <w:r>
              <w:t xml:space="preserve">Tencent Meeting</w:t>
            </w:r>
          </w:p>
        </w:tc>
        <w:tc>
          <w:tcPr/>
          <w:p>
            <w:pPr>
              <w:pStyle w:val="Compact"/>
              <w:jc w:val="right"/>
            </w:pPr>
            <w:r>
              <w:t xml:space="preserve">71.1</w:t>
            </w:r>
          </w:p>
        </w:tc>
        <w:tc>
          <w:tcPr/>
          <w:p>
            <w:pPr>
              <w:pStyle w:val="Compact"/>
              <w:jc w:val="right"/>
            </w:pPr>
            <w:r>
              <w:t xml:space="preserve">n.a.</w:t>
            </w:r>
          </w:p>
        </w:tc>
        <w:tc>
          <w:tcPr/>
          <w:p>
            <w:pPr>
              <w:pStyle w:val="Compact"/>
              <w:jc w:val="right"/>
            </w:pPr>
            <w:r>
              <w:t xml:space="preserve">57.9</w:t>
            </w:r>
          </w:p>
        </w:tc>
      </w:tr>
      <w:tr>
        <w:tc>
          <w:tcPr/>
          <w:p>
            <w:pPr>
              <w:pStyle w:val="Compact"/>
              <w:jc w:val="left"/>
            </w:pPr>
            <w:r>
              <w:t xml:space="preserve">Zoom</w:t>
            </w:r>
          </w:p>
        </w:tc>
        <w:tc>
          <w:tcPr/>
          <w:p>
            <w:pPr>
              <w:pStyle w:val="Compact"/>
              <w:jc w:val="right"/>
            </w:pPr>
            <w:r>
              <w:t xml:space="preserve">47.4</w:t>
            </w:r>
          </w:p>
        </w:tc>
        <w:tc>
          <w:tcPr/>
          <w:p>
            <w:pPr>
              <w:pStyle w:val="Compact"/>
              <w:jc w:val="right"/>
            </w:pPr>
            <w:r>
              <w:t xml:space="preserve">n.a.</w:t>
            </w:r>
          </w:p>
        </w:tc>
        <w:tc>
          <w:tcPr/>
          <w:p>
            <w:pPr>
              <w:pStyle w:val="Compact"/>
              <w:jc w:val="right"/>
            </w:pPr>
            <w:r>
              <w:t xml:space="preserve">71.1</w:t>
            </w:r>
          </w:p>
        </w:tc>
      </w:tr>
      <w:tr>
        <w:tc>
          <w:tcPr/>
          <w:p>
            <w:pPr>
              <w:pStyle w:val="Compact"/>
              <w:jc w:val="left"/>
            </w:pPr>
            <w:r>
              <w:t xml:space="preserve">WeChat</w:t>
            </w:r>
          </w:p>
        </w:tc>
        <w:tc>
          <w:tcPr/>
          <w:p>
            <w:pPr>
              <w:pStyle w:val="Compact"/>
              <w:jc w:val="right"/>
            </w:pPr>
            <w:r>
              <w:t xml:space="preserve">31.6</w:t>
            </w:r>
          </w:p>
        </w:tc>
        <w:tc>
          <w:tcPr/>
          <w:p>
            <w:pPr>
              <w:pStyle w:val="Compact"/>
              <w:jc w:val="right"/>
            </w:pPr>
            <w:r>
              <w:t xml:space="preserve">n.a.</w:t>
            </w:r>
          </w:p>
        </w:tc>
        <w:tc>
          <w:tcPr/>
          <w:p>
            <w:pPr>
              <w:pStyle w:val="Compact"/>
              <w:jc w:val="right"/>
            </w:pPr>
            <w:r>
              <w:t xml:space="preserve">39.5</w:t>
            </w:r>
          </w:p>
        </w:tc>
      </w:tr>
      <w:tr>
        <w:tc>
          <w:tcPr/>
          <w:p>
            <w:pPr>
              <w:pStyle w:val="Compact"/>
              <w:jc w:val="left"/>
            </w:pPr>
            <w:r>
              <w:t xml:space="preserve">WhatsApp</w:t>
            </w:r>
          </w:p>
        </w:tc>
        <w:tc>
          <w:tcPr/>
          <w:p>
            <w:pPr>
              <w:pStyle w:val="Compact"/>
              <w:jc w:val="right"/>
            </w:pPr>
            <w:r>
              <w:t xml:space="preserve">n.a.</w:t>
            </w:r>
          </w:p>
        </w:tc>
        <w:tc>
          <w:tcPr/>
          <w:p>
            <w:pPr>
              <w:pStyle w:val="Compact"/>
              <w:jc w:val="right"/>
            </w:pPr>
            <w:r>
              <w:t xml:space="preserve">n.a.</w:t>
            </w:r>
          </w:p>
        </w:tc>
        <w:tc>
          <w:tcPr/>
          <w:p>
            <w:pPr>
              <w:pStyle w:val="Compact"/>
              <w:jc w:val="right"/>
            </w:pPr>
            <w:r>
              <w:t xml:space="preserve">68.4</w:t>
            </w:r>
          </w:p>
        </w:tc>
      </w:tr>
      <w:tr>
        <w:tc>
          <w:tcPr/>
          <w:p>
            <w:pPr>
              <w:pStyle w:val="Compact"/>
              <w:jc w:val="left"/>
            </w:pPr>
            <w:r>
              <w:t xml:space="preserve">QQ</w:t>
            </w:r>
          </w:p>
        </w:tc>
        <w:tc>
          <w:tcPr/>
          <w:p>
            <w:pPr>
              <w:pStyle w:val="Compact"/>
              <w:jc w:val="right"/>
            </w:pPr>
            <w:r>
              <w:t xml:space="preserve">n.a.</w:t>
            </w:r>
          </w:p>
        </w:tc>
        <w:tc>
          <w:tcPr/>
          <w:p>
            <w:pPr>
              <w:pStyle w:val="Compact"/>
              <w:jc w:val="right"/>
            </w:pPr>
            <w:r>
              <w:t xml:space="preserve">50.0</w:t>
            </w:r>
          </w:p>
        </w:tc>
        <w:tc>
          <w:tcPr/>
          <w:p>
            <w:pPr>
              <w:pStyle w:val="Compact"/>
              <w:jc w:val="right"/>
            </w:pPr>
            <w:r>
              <w:t xml:space="preserve">n.a.</w:t>
            </w:r>
          </w:p>
        </w:tc>
      </w:tr>
      <w:tr>
        <w:tc>
          <w:tcPr/>
          <w:p>
            <w:pPr>
              <w:pStyle w:val="Compact"/>
              <w:jc w:val="left"/>
            </w:pPr>
            <w:r>
              <w:t xml:space="preserve">Chaoxing</w:t>
            </w:r>
          </w:p>
        </w:tc>
        <w:tc>
          <w:tcPr/>
          <w:p>
            <w:pPr>
              <w:pStyle w:val="Compact"/>
              <w:jc w:val="right"/>
            </w:pPr>
            <w:r>
              <w:t xml:space="preserve">n.a.</w:t>
            </w:r>
          </w:p>
        </w:tc>
        <w:tc>
          <w:tcPr/>
          <w:p>
            <w:pPr>
              <w:pStyle w:val="Compact"/>
              <w:jc w:val="right"/>
            </w:pPr>
            <w:r>
              <w:t xml:space="preserve">42.1</w:t>
            </w:r>
          </w:p>
        </w:tc>
        <w:tc>
          <w:tcPr/>
          <w:p>
            <w:pPr>
              <w:pStyle w:val="Compact"/>
              <w:jc w:val="right"/>
            </w:pPr>
            <w:r>
              <w:t xml:space="preserve">n.a.</w:t>
            </w:r>
          </w:p>
        </w:tc>
      </w:tr>
      <w:tr>
        <w:tc>
          <w:tcPr/>
          <w:p>
            <w:pPr>
              <w:pStyle w:val="Compact"/>
              <w:jc w:val="left"/>
            </w:pPr>
            <w:r>
              <w:t xml:space="preserve">DingTalk</w:t>
            </w:r>
          </w:p>
        </w:tc>
        <w:tc>
          <w:tcPr/>
          <w:p>
            <w:pPr>
              <w:pStyle w:val="Compact"/>
              <w:jc w:val="right"/>
            </w:pPr>
            <w:r>
              <w:t xml:space="preserve">n.a.</w:t>
            </w:r>
          </w:p>
        </w:tc>
        <w:tc>
          <w:tcPr/>
          <w:p>
            <w:pPr>
              <w:pStyle w:val="Compact"/>
              <w:jc w:val="right"/>
            </w:pPr>
            <w:r>
              <w:t xml:space="preserve">28.9</w:t>
            </w:r>
          </w:p>
        </w:tc>
        <w:tc>
          <w:tcPr/>
          <w:p>
            <w:pPr>
              <w:pStyle w:val="Compact"/>
              <w:jc w:val="right"/>
            </w:pPr>
            <w:r>
              <w:t xml:space="preserve">n.a.</w:t>
            </w:r>
          </w:p>
        </w:tc>
      </w:tr>
      <w:tr>
        <w:tc>
          <w:tcPr/>
          <w:p>
            <w:pPr>
              <w:pStyle w:val="Compact"/>
              <w:jc w:val="left"/>
            </w:pPr>
            <w:r>
              <w:t xml:space="preserve">Chinese MOOC (as printed)</w:t>
            </w:r>
          </w:p>
        </w:tc>
        <w:tc>
          <w:tcPr/>
          <w:p>
            <w:pPr>
              <w:pStyle w:val="Compact"/>
              <w:jc w:val="right"/>
            </w:pPr>
            <w:r>
              <w:t xml:space="preserve">n.a.</w:t>
            </w:r>
          </w:p>
        </w:tc>
        <w:tc>
          <w:tcPr/>
          <w:p>
            <w:pPr>
              <w:pStyle w:val="Compact"/>
              <w:jc w:val="right"/>
            </w:pPr>
            <w:r>
              <w:t xml:space="preserve">28.9</w:t>
            </w:r>
          </w:p>
        </w:tc>
        <w:tc>
          <w:tcPr/>
          <w:p>
            <w:pPr>
              <w:pStyle w:val="Compact"/>
              <w:jc w:val="right"/>
            </w:pPr>
            <w:r>
              <w:t xml:space="preserve">n.a.</w:t>
            </w:r>
          </w:p>
        </w:tc>
      </w:tr>
    </w:tbl>
    <w:p>
      <w:pPr>
        <w:pStyle w:val="BodyText"/>
      </w:pPr>
      <w:r>
        <w:rPr>
          <w:iCs/>
          <w:i/>
        </w:rPr>
        <w:t xml:space="preserve">Note.</w:t>
      </w:r>
      <w:r>
        <w:t xml:space="preserve"> </w:t>
      </w:r>
      <w:r>
        <w:t xml:space="preserve">n.a. = the item was not asked in that column.</w:t>
      </w:r>
      <w:r>
        <w:t xml:space="preserve"> </w:t>
      </w:r>
      <w:r>
        <w:t xml:space="preserve">“</w:t>
      </w:r>
      <w:r>
        <w:t xml:space="preserve">My country</w:t>
      </w:r>
      <w:r>
        <w:t xml:space="preserve">”</w:t>
      </w:r>
      <w:r>
        <w:t xml:space="preserve"> </w:t>
      </w:r>
      <w:r>
        <w:t xml:space="preserve">is the stem wording.</w:t>
      </w:r>
    </w:p>
    <w:bookmarkEnd w:id="30"/>
    <w:bookmarkStart w:id="31" w:name="stress-appraisals-and-replacement"/>
    <w:p>
      <w:pPr>
        <w:pStyle w:val="Heading3"/>
      </w:pPr>
      <w:r>
        <w:t xml:space="preserve">4.3 Stress, appraisals, and replacement</w:t>
      </w:r>
    </w:p>
    <w:p>
      <w:pPr>
        <w:pStyle w:val="FirstParagraph"/>
      </w:pPr>
      <w:r>
        <w:t xml:space="preserve">Among those who said the home affected study very much, 11 of 14 also selected very high stress; among the others, 3 of 24 did (two-sided Fisher’s exact</w:t>
      </w:r>
      <w:r>
        <w:t xml:space="preserve"> </w:t>
      </w:r>
      <w:r>
        <w:rPr>
          <w:iCs/>
          <w:i/>
        </w:rPr>
        <w:t xml:space="preserve">p</w:t>
      </w:r>
      <w:r>
        <w:t xml:space="preserve"> </w:t>
      </w:r>
      <w:r>
        <w:t xml:space="preserve">= .00008). Worse internet speed went with a worse appraisal index (ρ = .65, percentile bootstrap 95% CI [.36, .84],</w:t>
      </w:r>
      <w:r>
        <w:t xml:space="preserve"> </w:t>
      </w:r>
      <w:r>
        <w:rPr>
          <w:iCs/>
          <w:i/>
        </w:rPr>
        <w:t xml:space="preserve">p</w:t>
      </w:r>
      <w:r>
        <w:t xml:space="preserve"> </w:t>
      </w:r>
      <w:r>
        <w:t xml:space="preserve">&lt; .001). Both pairs come from the same form. They are reported as co-occurrence, not as cause.</w:t>
      </w:r>
    </w:p>
    <w:p>
      <w:pPr>
        <w:pStyle w:val="BodyText"/>
      </w:pPr>
      <w:r>
        <w:t xml:space="preserve">Active interaction with the teacher</w:t>
      </w:r>
      <w:r>
        <w:t xml:space="preserve"> </w:t>
      </w:r>
      <w:r>
        <w:t xml:space="preserve">“</w:t>
      </w:r>
      <w:r>
        <w:t xml:space="preserve">very much</w:t>
      </w:r>
      <w:r>
        <w:t xml:space="preserve">”</w:t>
      </w:r>
      <w:r>
        <w:t xml:space="preserve"> </w:t>
      </w:r>
      <w:r>
        <w:t xml:space="preserve">was marked by 6 of 38. Preferred live length was 45 minutes for 19 respondents and 30 minutes for 11. One open comment said that even one minute online was</w:t>
      </w:r>
      <w:r>
        <w:t xml:space="preserve"> </w:t>
      </w:r>
      <w:r>
        <w:t xml:space="preserve">“</w:t>
      </w:r>
      <w:r>
        <w:t xml:space="preserve">not suitable.</w:t>
      </w:r>
      <w:r>
        <w:t xml:space="preserve">”</w:t>
      </w:r>
    </w:p>
    <w:p>
      <w:pPr>
        <w:pStyle w:val="BodyText"/>
      </w:pPr>
      <w:r>
        <w:t xml:space="preserve">Nineteen said online study could replace campus classes, and 19 said it could not.</w:t>
      </w:r>
    </w:p>
    <w:bookmarkEnd w:id="31"/>
    <w:bookmarkEnd w:id="32"/>
    <w:bookmarkStart w:id="33" w:name="discussion"/>
    <w:p>
      <w:pPr>
        <w:pStyle w:val="Heading2"/>
      </w:pPr>
      <w:r>
        <w:t xml:space="preserve">5. Discussion</w:t>
      </w:r>
    </w:p>
    <w:p>
      <w:pPr>
        <w:pStyle w:val="FirstParagraph"/>
      </w:pPr>
      <w:r>
        <w:t xml:space="preserve">The 38 rows show a familiar list: unstable networks, power interruptions, homes that were often not quiet, and some applications marked unusable. That list matches trouble the field has already named (Tao &amp; Gao, 2022; Xu et al., 2022). It does not show how any institution taught, and it does not show that these respondents sat in one travelling course.</w:t>
      </w:r>
    </w:p>
    <w:p>
      <w:pPr>
        <w:pStyle w:val="BodyText"/>
      </w:pPr>
      <w:r>
        <w:t xml:space="preserve">The stress and appraisal associations sit on the same questionnaire as the home and speed items. A person having a hard week could mark both. The 19/19 replacement split is a split, not a finding about online Chinese teaching.</w:t>
      </w:r>
    </w:p>
    <w:p>
      <w:pPr>
        <w:pStyle w:val="BodyText"/>
      </w:pPr>
      <w:r>
        <w:t xml:space="preserve">Table 3 can be read only as marked options. QQ and Chaoxing were often marked unusable. Zoom and WhatsApp were more often marked available. Because the columns were not asked for every platform, the table cannot support a map of which tools a Chinese program should drop.</w:t>
      </w:r>
    </w:p>
    <w:bookmarkEnd w:id="33"/>
    <w:bookmarkStart w:id="34" w:name="pedagogical-implications"/>
    <w:p>
      <w:pPr>
        <w:pStyle w:val="Heading2"/>
      </w:pPr>
      <w:r>
        <w:t xml:space="preserve">6. Pedagogical implications</w:t>
      </w:r>
    </w:p>
    <w:p>
      <w:pPr>
        <w:pStyle w:val="FirstParagraph"/>
      </w:pPr>
      <w:r>
        <w:t xml:space="preserve">These 38 answers cannot tell a program which platform to adopt or how long a live hour should last. They can remind a teacher to ask, before treating attendance as simple, whether the home is quiet enough for speech, whether the power and the connection hold, and whether the required application opens. WhatsApp was often marked available here, but the form did not ask whether it was used for class, so it is not recommended from these data. A live oral test that assumes a campus hour will treat some of the conditions in Table 2 as learner failure. That is a risk worth naming. It is not a policy derived from this sample.</w:t>
      </w:r>
    </w:p>
    <w:bookmarkEnd w:id="34"/>
    <w:bookmarkStart w:id="35" w:name="limitations"/>
    <w:p>
      <w:pPr>
        <w:pStyle w:val="Heading2"/>
      </w:pPr>
      <w:r>
        <w:t xml:space="preserve">7. Limitations</w:t>
      </w:r>
    </w:p>
    <w:p>
      <w:pPr>
        <w:pStyle w:val="FirstParagraph"/>
      </w:pPr>
      <w:r>
        <w:t xml:space="preserve">The sample is 38 self-selected rows from four days in February 2022. Recruitment is unknown. Enrollment was not verified. The instrument was not piloted. Several platform columns were never asked. The appraisal index is a local mean. There is no ethics-committee number for the original collection. The results are not a picture of current hybrid teaching.</w:t>
      </w:r>
    </w:p>
    <w:bookmarkEnd w:id="35"/>
    <w:bookmarkStart w:id="36" w:name="conclusion"/>
    <w:p>
      <w:pPr>
        <w:pStyle w:val="Heading2"/>
      </w:pPr>
      <w:r>
        <w:t xml:space="preserve">8. Conclusion</w:t>
      </w:r>
    </w:p>
    <w:p>
      <w:pPr>
        <w:pStyle w:val="FirstParagraph"/>
      </w:pPr>
      <w:r>
        <w:t xml:space="preserve">Thirty-eight people who completed this 2022 questionnaire reported home and platform trouble alongside stress and mixed views of online study. That is all these rows can carry. Whether later teaching has closed that gap is a question they cannot answer.</w:t>
      </w:r>
    </w:p>
    <w:bookmarkEnd w:id="36"/>
    <w:bookmarkStart w:id="37" w:name="appendix.-item-glosses-and-coding"/>
    <w:p>
      <w:pPr>
        <w:pStyle w:val="Heading2"/>
      </w:pPr>
      <w:r>
        <w:t xml:space="preserve">Appendix. Item glosses and coding</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Item</w:t>
            </w:r>
          </w:p>
        </w:tc>
        <w:tc>
          <w:tcPr/>
          <w:p>
            <w:pPr>
              <w:pStyle w:val="Compact"/>
              <w:jc w:val="left"/>
            </w:pPr>
            <w:r>
              <w:t xml:space="preserve">Stem (gloss)</w:t>
            </w:r>
          </w:p>
        </w:tc>
        <w:tc>
          <w:tcPr/>
          <w:p>
            <w:pPr>
              <w:pStyle w:val="Compact"/>
              <w:jc w:val="left"/>
            </w:pPr>
            <w:r>
              <w:t xml:space="preserve">1</w:t>
            </w:r>
          </w:p>
        </w:tc>
        <w:tc>
          <w:tcPr/>
          <w:p>
            <w:pPr>
              <w:pStyle w:val="Compact"/>
              <w:jc w:val="left"/>
            </w:pPr>
            <w:r>
              <w:t xml:space="preserve">Higher</w:t>
            </w:r>
          </w:p>
        </w:tc>
      </w:tr>
      <w:tr>
        <w:tc>
          <w:tcPr/>
          <w:p>
            <w:pPr>
              <w:pStyle w:val="Compact"/>
              <w:jc w:val="left"/>
            </w:pPr>
            <w:r>
              <w:t xml:space="preserve">Learned (Q8)</w:t>
            </w:r>
          </w:p>
        </w:tc>
        <w:tc>
          <w:tcPr/>
          <w:p>
            <w:pPr>
              <w:pStyle w:val="Compact"/>
              <w:jc w:val="left"/>
            </w:pPr>
            <w:r>
              <w:t xml:space="preserve">Can you learn a lot in online class?</w:t>
            </w:r>
          </w:p>
        </w:tc>
        <w:tc>
          <w:tcPr/>
          <w:p>
            <w:pPr>
              <w:pStyle w:val="Compact"/>
              <w:jc w:val="left"/>
            </w:pPr>
            <w:r>
              <w:t xml:space="preserve">a lot</w:t>
            </w:r>
          </w:p>
        </w:tc>
        <w:tc>
          <w:tcPr/>
          <w:p>
            <w:pPr>
              <w:pStyle w:val="Compact"/>
              <w:jc w:val="left"/>
            </w:pPr>
            <w:r>
              <w:t xml:space="preserve">worse appraisal</w:t>
            </w:r>
          </w:p>
        </w:tc>
      </w:tr>
      <w:tr>
        <w:tc>
          <w:tcPr/>
          <w:p>
            <w:pPr>
              <w:pStyle w:val="Compact"/>
              <w:jc w:val="left"/>
            </w:pPr>
            <w:r>
              <w:t xml:space="preserve">Improve (Q9)</w:t>
            </w:r>
          </w:p>
        </w:tc>
        <w:tc>
          <w:tcPr/>
          <w:p>
            <w:pPr>
              <w:pStyle w:val="Compact"/>
              <w:jc w:val="left"/>
            </w:pPr>
            <w:r>
              <w:t xml:space="preserve">Can online study improve Chinese?</w:t>
            </w:r>
          </w:p>
        </w:tc>
        <w:tc>
          <w:tcPr/>
          <w:p>
            <w:pPr>
              <w:pStyle w:val="Compact"/>
              <w:jc w:val="left"/>
            </w:pPr>
            <w:r>
              <w:t xml:space="preserve">very much</w:t>
            </w:r>
          </w:p>
        </w:tc>
        <w:tc>
          <w:tcPr/>
          <w:p>
            <w:pPr>
              <w:pStyle w:val="Compact"/>
              <w:jc w:val="left"/>
            </w:pPr>
            <w:r>
              <w:t xml:space="preserve">worse appraisal</w:t>
            </w:r>
          </w:p>
        </w:tc>
      </w:tr>
      <w:tr>
        <w:tc>
          <w:tcPr/>
          <w:p>
            <w:pPr>
              <w:pStyle w:val="Compact"/>
              <w:jc w:val="left"/>
            </w:pPr>
            <w:r>
              <w:t xml:space="preserve">Interest (Q10)</w:t>
            </w:r>
          </w:p>
        </w:tc>
        <w:tc>
          <w:tcPr/>
          <w:p>
            <w:pPr>
              <w:pStyle w:val="Compact"/>
              <w:jc w:val="left"/>
            </w:pPr>
            <w:r>
              <w:t xml:space="preserve">Does it spark learning interest?</w:t>
            </w:r>
          </w:p>
        </w:tc>
        <w:tc>
          <w:tcPr/>
          <w:p>
            <w:pPr>
              <w:pStyle w:val="Compact"/>
              <w:jc w:val="left"/>
            </w:pPr>
            <w:r>
              <w:t xml:space="preserve">very much</w:t>
            </w:r>
          </w:p>
        </w:tc>
        <w:tc>
          <w:tcPr/>
          <w:p>
            <w:pPr>
              <w:pStyle w:val="Compact"/>
              <w:jc w:val="left"/>
            </w:pPr>
            <w:r>
              <w:t xml:space="preserve">worse appraisal</w:t>
            </w:r>
          </w:p>
        </w:tc>
      </w:tr>
      <w:tr>
        <w:tc>
          <w:tcPr/>
          <w:p>
            <w:pPr>
              <w:pStyle w:val="Compact"/>
              <w:jc w:val="left"/>
            </w:pPr>
            <w:r>
              <w:t xml:space="preserve">Speed (Q14)</w:t>
            </w:r>
          </w:p>
        </w:tc>
        <w:tc>
          <w:tcPr/>
          <w:p>
            <w:pPr>
              <w:pStyle w:val="Compact"/>
              <w:jc w:val="left"/>
            </w:pPr>
            <w:r>
              <w:t xml:space="preserve">Internet speed</w:t>
            </w:r>
          </w:p>
        </w:tc>
        <w:tc>
          <w:tcPr/>
          <w:p>
            <w:pPr>
              <w:pStyle w:val="Compact"/>
              <w:jc w:val="left"/>
            </w:pPr>
            <w:r>
              <w:t xml:space="preserve">very good</w:t>
            </w:r>
          </w:p>
        </w:tc>
        <w:tc>
          <w:tcPr/>
          <w:p>
            <w:pPr>
              <w:pStyle w:val="Compact"/>
              <w:jc w:val="left"/>
            </w:pPr>
            <w:r>
              <w:t xml:space="preserve">worse speed</w:t>
            </w:r>
          </w:p>
        </w:tc>
      </w:tr>
      <w:tr>
        <w:tc>
          <w:tcPr/>
          <w:p>
            <w:pPr>
              <w:pStyle w:val="Compact"/>
              <w:jc w:val="left"/>
            </w:pPr>
            <w:r>
              <w:t xml:space="preserve">Stress (Q24)</w:t>
            </w:r>
          </w:p>
        </w:tc>
        <w:tc>
          <w:tcPr/>
          <w:p>
            <w:pPr>
              <w:pStyle w:val="Compact"/>
              <w:jc w:val="left"/>
            </w:pPr>
            <w:r>
              <w:t xml:space="preserve">Psychological stress</w:t>
            </w:r>
          </w:p>
        </w:tc>
        <w:tc>
          <w:tcPr/>
          <w:p>
            <w:pPr>
              <w:pStyle w:val="Compact"/>
              <w:jc w:val="left"/>
            </w:pPr>
            <w:r>
              <w:t xml:space="preserve">very high</w:t>
            </w:r>
          </w:p>
        </w:tc>
        <w:tc>
          <w:tcPr/>
          <w:p>
            <w:pPr>
              <w:pStyle w:val="Compact"/>
              <w:jc w:val="left"/>
            </w:pPr>
            <w:r>
              <w:t xml:space="preserve">less stress</w:t>
            </w:r>
          </w:p>
        </w:tc>
      </w:tr>
      <w:tr>
        <w:tc>
          <w:tcPr/>
          <w:p>
            <w:pPr>
              <w:pStyle w:val="Compact"/>
              <w:jc w:val="left"/>
            </w:pPr>
            <w:r>
              <w:t xml:space="preserve">Interaction (Q25)</w:t>
            </w:r>
          </w:p>
        </w:tc>
        <w:tc>
          <w:tcPr/>
          <w:p>
            <w:pPr>
              <w:pStyle w:val="Compact"/>
              <w:jc w:val="left"/>
            </w:pPr>
            <w:r>
              <w:t xml:space="preserve">Active interaction with teacher</w:t>
            </w:r>
          </w:p>
        </w:tc>
        <w:tc>
          <w:tcPr/>
          <w:p>
            <w:pPr>
              <w:pStyle w:val="Compact"/>
              <w:jc w:val="left"/>
            </w:pPr>
            <w:r>
              <w:t xml:space="preserve">very much</w:t>
            </w:r>
          </w:p>
        </w:tc>
        <w:tc>
          <w:tcPr/>
          <w:p>
            <w:pPr>
              <w:pStyle w:val="Compact"/>
              <w:jc w:val="left"/>
            </w:pPr>
            <w:r>
              <w:t xml:space="preserve">thinner interaction</w:t>
            </w:r>
          </w:p>
        </w:tc>
      </w:tr>
    </w:tbl>
    <w:p>
      <w:pPr>
        <w:pStyle w:val="BodyText"/>
      </w:pPr>
      <w:r>
        <w:t xml:space="preserve">Index = mean of Q8, Q9, and Q10 (n = 38).</w:t>
      </w:r>
    </w:p>
    <w:bookmarkEnd w:id="37"/>
    <w:bookmarkStart w:id="38" w:name="references"/>
    <w:p>
      <w:pPr>
        <w:pStyle w:val="Heading2"/>
      </w:pPr>
      <w:r>
        <w:t xml:space="preserve">References</w:t>
      </w:r>
    </w:p>
    <w:p>
      <w:pPr>
        <w:pStyle w:val="FirstParagraph"/>
      </w:pPr>
      <w:r>
        <w:t xml:space="preserve">Beaunoyer, E., Dupéré, S., &amp; Guitton, M. J. (2020). COVID-19 and digital inequalities: Reciprocal impacts and mitigation strategies.</w:t>
      </w:r>
      <w:r>
        <w:t xml:space="preserve"> </w:t>
      </w:r>
      <w:r>
        <w:rPr>
          <w:iCs/>
          <w:i/>
        </w:rPr>
        <w:t xml:space="preserve">Computers in Human Behavior, 111</w:t>
      </w:r>
      <w:r>
        <w:t xml:space="preserve">, Article 106424. https://doi.org/10.1016/j.chb.2020.106424</w:t>
      </w:r>
    </w:p>
    <w:p>
      <w:pPr>
        <w:pStyle w:val="BodyText"/>
      </w:pPr>
      <w:r>
        <w:t xml:space="preserve">Gacs, A., Goertler, S., &amp; Spasova, S. (2020). Planned online language education versus crisis-prompted online language teaching: Lessons for the future.</w:t>
      </w:r>
      <w:r>
        <w:t xml:space="preserve"> </w:t>
      </w:r>
      <w:r>
        <w:rPr>
          <w:iCs/>
          <w:i/>
        </w:rPr>
        <w:t xml:space="preserve">Foreign Language Annals, 53</w:t>
      </w:r>
      <w:r>
        <w:t xml:space="preserve">(2), 380-392. https://doi.org/10.1111/flan.12460</w:t>
      </w:r>
    </w:p>
    <w:p>
      <w:pPr>
        <w:pStyle w:val="BodyText"/>
      </w:pPr>
      <w:r>
        <w:t xml:space="preserve">González-Lloret, M. (2020). Collaborative tasks for online language teaching.</w:t>
      </w:r>
      <w:r>
        <w:t xml:space="preserve"> </w:t>
      </w:r>
      <w:r>
        <w:rPr>
          <w:iCs/>
          <w:i/>
        </w:rPr>
        <w:t xml:space="preserve">Foreign Language Annals, 53</w:t>
      </w:r>
      <w:r>
        <w:t xml:space="preserve">(2), 260-269. https://doi.org/10.1111/flan.12466</w:t>
      </w:r>
    </w:p>
    <w:p>
      <w:pPr>
        <w:pStyle w:val="BodyText"/>
      </w:pPr>
      <w:r>
        <w:t xml:space="preserve">Hodges, C., Moore, S., Lockee, B., Trust, T., &amp; Bond, A. (2020). The difference between emergency remote teaching and online learning.</w:t>
      </w:r>
      <w:r>
        <w:t xml:space="preserve"> </w:t>
      </w:r>
      <w:r>
        <w:rPr>
          <w:iCs/>
          <w:i/>
        </w:rPr>
        <w:t xml:space="preserve">EDUCAUSE Review</w:t>
      </w:r>
      <w:r>
        <w:t xml:space="preserve">. https://er.educause.edu/articles/2020/3/the-difference-between-emergency-remote-teaching-and-online-learning</w:t>
      </w:r>
    </w:p>
    <w:p>
      <w:pPr>
        <w:pStyle w:val="BodyText"/>
      </w:pPr>
      <w:r>
        <w:t xml:space="preserve">Jin, L., Xu, Y., &amp; Deifell, E. (2023). College-level world language faculty background characteristics and their perceptions of online language teaching during the pandemic.</w:t>
      </w:r>
      <w:r>
        <w:t xml:space="preserve"> </w:t>
      </w:r>
      <w:r>
        <w:rPr>
          <w:iCs/>
          <w:i/>
        </w:rPr>
        <w:t xml:space="preserve">Foreign Language Annals, 57</w:t>
      </w:r>
      <w:r>
        <w:t xml:space="preserve">(1), 137-162. https://doi.org/10.1111/flan.12689</w:t>
      </w:r>
    </w:p>
    <w:p>
      <w:pPr>
        <w:pStyle w:val="BodyText"/>
      </w:pPr>
      <w:r>
        <w:t xml:space="preserve">Li, J., &amp; Li, C. (2024). A scoping review of the research on the teaching models of online international Chinese language teaching.</w:t>
      </w:r>
      <w:r>
        <w:t xml:space="preserve"> </w:t>
      </w:r>
      <w:r>
        <w:rPr>
          <w:iCs/>
          <w:i/>
        </w:rPr>
        <w:t xml:space="preserve">Journal of Education and Learning, 13</w:t>
      </w:r>
      <w:r>
        <w:t xml:space="preserve">(4), Article 255. https://doi.org/10.5539/jel.v13n4p255</w:t>
      </w:r>
    </w:p>
    <w:p>
      <w:pPr>
        <w:pStyle w:val="BodyText"/>
      </w:pPr>
      <w:r>
        <w:t xml:space="preserve">Moorhouse, B. L. (2023). Teachers’ digital technology use after a period of online teaching.</w:t>
      </w:r>
      <w:r>
        <w:t xml:space="preserve"> </w:t>
      </w:r>
      <w:r>
        <w:rPr>
          <w:iCs/>
          <w:i/>
        </w:rPr>
        <w:t xml:space="preserve">ELT Journal, 77</w:t>
      </w:r>
      <w:r>
        <w:t xml:space="preserve">(4), 445-457. https://doi.org/10.1093/elt/ccac050</w:t>
      </w:r>
    </w:p>
    <w:p>
      <w:pPr>
        <w:pStyle w:val="BodyText"/>
      </w:pPr>
      <w:r>
        <w:t xml:space="preserve">Moser, K. M., Wei, T., &amp; Brenner, D. (2021). Remote teaching during COVID-19: Implications from a national survey of language educators.</w:t>
      </w:r>
      <w:r>
        <w:t xml:space="preserve"> </w:t>
      </w:r>
      <w:r>
        <w:rPr>
          <w:iCs/>
          <w:i/>
        </w:rPr>
        <w:t xml:space="preserve">System, 97</w:t>
      </w:r>
      <w:r>
        <w:t xml:space="preserve">, Article 102431. https://doi.org/10.1016/j.system.2020.102431</w:t>
      </w:r>
    </w:p>
    <w:p>
      <w:pPr>
        <w:pStyle w:val="BodyText"/>
      </w:pPr>
      <w:r>
        <w:t xml:space="preserve">Payne, J. S. (2020). Developing L2 productive language skills online and the strategic use of instructional tools.</w:t>
      </w:r>
      <w:r>
        <w:t xml:space="preserve"> </w:t>
      </w:r>
      <w:r>
        <w:rPr>
          <w:iCs/>
          <w:i/>
        </w:rPr>
        <w:t xml:space="preserve">Foreign Language Annals, 53</w:t>
      </w:r>
      <w:r>
        <w:t xml:space="preserve">(2), 243-249. https://doi.org/10.1111/flan.12457</w:t>
      </w:r>
    </w:p>
    <w:p>
      <w:pPr>
        <w:pStyle w:val="BodyText"/>
      </w:pPr>
      <w:r>
        <w:t xml:space="preserve">Russell, V. (2020). Language anxiety and the online learner.</w:t>
      </w:r>
      <w:r>
        <w:t xml:space="preserve"> </w:t>
      </w:r>
      <w:r>
        <w:rPr>
          <w:iCs/>
          <w:i/>
        </w:rPr>
        <w:t xml:space="preserve">Foreign Language Annals, 53</w:t>
      </w:r>
      <w:r>
        <w:t xml:space="preserve">(2), 338-352. https://doi.org/10.1111/flan.12461</w:t>
      </w:r>
    </w:p>
    <w:p>
      <w:pPr>
        <w:pStyle w:val="BodyText"/>
      </w:pPr>
      <w:r>
        <w:t xml:space="preserve">Stockwell, G., &amp; Wang, Y. (2023). Exploring the challenges of technology in language teaching in the aftermath of the pandemic.</w:t>
      </w:r>
      <w:r>
        <w:t xml:space="preserve"> </w:t>
      </w:r>
      <w:r>
        <w:rPr>
          <w:iCs/>
          <w:i/>
        </w:rPr>
        <w:t xml:space="preserve">RELC Journal, 54</w:t>
      </w:r>
      <w:r>
        <w:t xml:space="preserve">(2), 474-482. https://doi.org/10.1177/00336882231168438</w:t>
      </w:r>
    </w:p>
    <w:p>
      <w:pPr>
        <w:pStyle w:val="BodyText"/>
      </w:pPr>
      <w:r>
        <w:t xml:space="preserve">Tao, J., &amp; Gao, X. (2022). Teaching and learning languages online: Challenges and responses.</w:t>
      </w:r>
      <w:r>
        <w:t xml:space="preserve"> </w:t>
      </w:r>
      <w:r>
        <w:rPr>
          <w:iCs/>
          <w:i/>
        </w:rPr>
        <w:t xml:space="preserve">System, 107</w:t>
      </w:r>
      <w:r>
        <w:t xml:space="preserve">, Article 102819. https://doi.org/10.1016/j.system.2022.102819</w:t>
      </w:r>
    </w:p>
    <w:p>
      <w:pPr>
        <w:pStyle w:val="BodyText"/>
      </w:pPr>
      <w:r>
        <w:t xml:space="preserve">van Dijk, J. (2020).</w:t>
      </w:r>
      <w:r>
        <w:t xml:space="preserve"> </w:t>
      </w:r>
      <w:r>
        <w:rPr>
          <w:iCs/>
          <w:i/>
        </w:rPr>
        <w:t xml:space="preserve">The digital divide</w:t>
      </w:r>
      <w:r>
        <w:t xml:space="preserve">. Polity.</w:t>
      </w:r>
    </w:p>
    <w:p>
      <w:pPr>
        <w:pStyle w:val="BodyText"/>
      </w:pPr>
      <w:r>
        <w:t xml:space="preserve">Warschauer, M. (2003).</w:t>
      </w:r>
      <w:r>
        <w:t xml:space="preserve"> </w:t>
      </w:r>
      <w:r>
        <w:rPr>
          <w:iCs/>
          <w:i/>
        </w:rPr>
        <w:t xml:space="preserve">Technology and social inclusion: Rethinking the digital divide</w:t>
      </w:r>
      <w:r>
        <w:t xml:space="preserve">. MIT Press.</w:t>
      </w:r>
    </w:p>
    <w:p>
      <w:pPr>
        <w:pStyle w:val="BodyText"/>
      </w:pPr>
      <w:r>
        <w:t xml:space="preserve">White, C. (2006). Distance learning of foreign languages.</w:t>
      </w:r>
      <w:r>
        <w:t xml:space="preserve"> </w:t>
      </w:r>
      <w:r>
        <w:rPr>
          <w:iCs/>
          <w:i/>
        </w:rPr>
        <w:t xml:space="preserve">Language Teaching, 39</w:t>
      </w:r>
      <w:r>
        <w:t xml:space="preserve">(4), 247-264. https://doi.org/10.1017/S0261444806003727</w:t>
      </w:r>
    </w:p>
    <w:p>
      <w:pPr>
        <w:pStyle w:val="BodyText"/>
      </w:pPr>
      <w:r>
        <w:t xml:space="preserve">Xu, B. (2024). Technology integration into Chinese as a foreign language learning in higher education: An integrated bibliometric analysis and systematic review (2000–2024).</w:t>
      </w:r>
      <w:r>
        <w:t xml:space="preserve"> </w:t>
      </w:r>
      <w:r>
        <w:rPr>
          <w:iCs/>
          <w:i/>
        </w:rPr>
        <w:t xml:space="preserve">Language Teaching Research</w:t>
      </w:r>
      <w:r>
        <w:t xml:space="preserve">. Advance online publication. https://doi.org/10.1177/13621688241277911</w:t>
      </w:r>
    </w:p>
    <w:p>
      <w:pPr>
        <w:pStyle w:val="BodyText"/>
      </w:pPr>
      <w:r>
        <w:t xml:space="preserve">Xu, Y., Jin, L., Deifell, E., &amp; Angus, K. (2022). Facilitating technology-based character learning in emergency remote teaching.</w:t>
      </w:r>
      <w:r>
        <w:t xml:space="preserve"> </w:t>
      </w:r>
      <w:r>
        <w:rPr>
          <w:iCs/>
          <w:i/>
        </w:rPr>
        <w:t xml:space="preserve">Foreign Language Annals, 55</w:t>
      </w:r>
      <w:r>
        <w:t xml:space="preserve">(1), 72-97. https://doi.org/10.1111/flan.12541</w:t>
      </w:r>
    </w:p>
    <w:bookmarkEnd w:id="38"/>
    <w:bookmarkEnd w:id="39"/>
    <w:sectPr w:rsidR="00FC693F" w:rsidRPr="0006063C" w:rsidSect="0003461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0" w:line="480" w:lineRule="auto"/>
    </w:pPr>
    <w:rPr>
      <w:rFonts w:ascii="Times New Roman" w:hAnsi="Times New Roman"/>
      <w:color w:val="000000"/>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Times New Roman" w:asciiTheme="majorHAnsi" w:cstheme="majorBidi" w:eastAsiaTheme="majorEastAsia" w:hAnsi="Times New Roman" w:hAnsiTheme="majorHAnsi"/>
      <w:b/>
      <w:bCs/>
      <w:color w:val="000000"/>
      <w:sz w:val="28"/>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Times New Roman" w:asciiTheme="majorHAnsi" w:cstheme="majorBidi" w:eastAsiaTheme="majorEastAsia" w:hAnsi="Times New Roman" w:hAnsiTheme="majorHAnsi"/>
      <w:b/>
      <w:bCs/>
      <w:color w:val="000000"/>
      <w:sz w:val="26"/>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Times New Roman" w:asciiTheme="majorHAnsi" w:cstheme="majorBidi" w:eastAsiaTheme="majorEastAsia" w:hAnsi="Times New Roman" w:hAnsiTheme="majorHAnsi"/>
      <w:b/>
      <w:bCs/>
      <w:color w:val="000000"/>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imes New Roman" w:asciiTheme="majorHAnsi" w:cstheme="majorBidi" w:eastAsiaTheme="majorEastAsia" w:hAnsi="Times New Roman" w:hAnsiTheme="majorHAnsi"/>
      <w:color w:val="000000"/>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2026-08-24T04:20:58Z</dcterms:created>
  <dcterms:modified xsi:type="dcterms:W3CDTF">2026-08-24T04:20:58Z</dcterms:modified>
</cp:coreProperties>
</file>

<file path=docProps/custom.xml><?xml version="1.0" encoding="utf-8"?>
<Properties xmlns="http://schemas.openxmlformats.org/officeDocument/2006/custom-properties" xmlns:vt="http://schemas.openxmlformats.org/officeDocument/2006/docPropsVTypes"/>
</file>