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difficult to take if its timetable, platforms, oral tasks, and assessment do not fit the conditions in which learners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household infrastructure; platform access; digital inequality; emergency remote teaching; Pakistan</w:t>
      </w:r>
    </w:p>
    <w:bookmarkEnd w:id="20"/>
    <w:bookmarkStart w:id="21" w:name="introduction"/>
    <w:p>
      <w:pPr>
        <w:pStyle w:val="Heading2"/>
      </w:pPr>
      <w:r>
        <w:t xml:space="preserve">1. Introduction</w:t>
      </w:r>
    </w:p>
    <w:p>
      <w:pPr>
        <w:pStyle w:val="FirstParagraph"/>
      </w:pPr>
      <w:r>
        <w:t xml:space="preserve">The problem is this: when language teaching is moved online, the course often keeps the hours, platforms, and classroom tasks of the original class (Gacs et al., 2020; Hodges et al., 2020; Stockwell &amp; Wang, 2023). Guides to online language tasks still assume that learners can join a live or collaborative session (González-Lloret, 2020; Payne, 2020). Research on online language teaching, and on online international Chinese teaching, has already shown that those arrangements can fail where networks are unstable, platforms are hard to use, interaction thins out, or learners are under strain (Li &amp; Li, 2024; Moser et al., 2021; Russell, 2020; Tao &amp; Gao, 2022). Digital-inequality research, including studies of online learning in China and of household and university e-learning in Pakistan, has documented uneven internet access, device sharing, and electricity interruptions (Beaunoyer et al., 2020; Guo &amp; Wan, 2022; Jamil &amp; Muschert, 2023; Raza &amp; Hennessy, 2025). Owning a device is not the same as being able to take part (Ali, 2020; Warschauer, 2003). If household power, network speed, or platform access does not support the required class, the content may remain appropriate while the class is closed. That is a delivery problem, not a content problem. This article examines that problem. Distance language learning had already raised that feasibility question before the pandemic (White, 2006).</w:t>
      </w:r>
    </w:p>
    <w:p>
      <w:pPr>
        <w:pStyle w:val="BodyText"/>
      </w:pPr>
      <w:r>
        <w:t xml:space="preserve">The field has already described how that problem appears: uneven network conditions, platforms that are hard to operate, thinner classroom interaction, and unstable learner affect (Li &amp; Li, 2024; Tao &amp; Gao, 2022; Zhang et al., 2020). The purpose of the article is to describe those learner-side conditions in this sample, and to examine how they sat alongside stress, interaction, and respondents’ appraisals of learning.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and publish student questionnaires on how courses are experienced (Lam, 2024; Shan &amp; Xu, 2024; Zhang &amp; Pladevall-Ballester, 2021).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t xml:space="preserve">The questionnaire cannot show how institutions adapted time, platform, task, participation mode, or assessment. It can show the learner-side conditions of household infrastructure and platform access, and how those conditions sat alongside stress and appraisals of online learning.</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the purpose above through three questions about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Bond et al. (2021) mapped that first global online semester, and Adedoyin and Soykan (2020) summarised the infrastructural as well as pedagogical strain. Surveys of language teachers from the same period describe heavier workloads, stress, and uneven preparedness once teaching moved online (MacIntyre et al., 2020; Moorhouse &amp; Kohnke, 2021; Moser et al., 2021). Tao and Gao (2022) read the wider literature as a story of technical disruption, thinner engagement, and the need for language-specific support. Russell (2020) treats language anxiety as a condition of the online learner, and Lomicka (2020) treats interaction as a problem of virtual community rather than of a copied campus hour.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Jin et al. (2023) report world-language faculty perceptions of pandemic online teaching. Zhang and Liu (2023) examine online collaborative writing among Chinese-language learners in designed synchronous and asynchronous conditions, which is planned online work rather than a copy of the campus hour.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Beaunoyer et al., 2020). Guo and Wan (2022) document that divide in online learning in China.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Adedoyin, O. B., &amp; Soykan, E. (2020). Covid-19 pandemic and online learning: The challenges and opportunities.</w:t>
      </w:r>
      <w:r>
        <w:t xml:space="preserve"> </w:t>
      </w:r>
      <w:r>
        <w:rPr>
          <w:iCs/>
          <w:i/>
        </w:rPr>
        <w:t xml:space="preserve">Interactive Learning Environments, 31</w:t>
      </w:r>
      <w:r>
        <w:t xml:space="preserve">(2), 863-875. https://doi.org/10.1080/10494820.2020.1813180</w:t>
      </w:r>
    </w:p>
    <w:p>
      <w:pPr>
        <w:pStyle w:val="BodyText"/>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Bond, M., Bedenlier, S., Marín, V. I., &amp; Händel, M. (2021). Emergency remote teaching in higher education: Mapping the first global online semester.</w:t>
      </w:r>
      <w:r>
        <w:t xml:space="preserve"> </w:t>
      </w:r>
      <w:r>
        <w:rPr>
          <w:iCs/>
          <w:i/>
        </w:rPr>
        <w:t xml:space="preserve">International Journal of Educational Technology in Higher Education, 18</w:t>
      </w:r>
      <w:r>
        <w:t xml:space="preserve">(1), Article 50. https://doi.org/10.1186/s41239-021-00282-x</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M., &amp; Pladevall-Ballester, E. (2021). Students’ attitudes and perceptions towards three EMI courses in mainland China.</w:t>
      </w:r>
      <w:r>
        <w:t xml:space="preserve"> </w:t>
      </w:r>
      <w:r>
        <w:rPr>
          <w:iCs/>
          <w:i/>
        </w:rPr>
        <w:t xml:space="preserve">Language, Culture and Curriculum, 35</w:t>
      </w:r>
      <w:r>
        <w:t xml:space="preserve">(2), 200-216. https://doi.org/10.1080/07908318.2021.1979576</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2026-08-23T10:44:02Z</dcterms:created>
  <dcterms:modified xsi:type="dcterms:W3CDTF">2026-08-23T10:44:02Z</dcterms:modified>
</cp:coreProperties>
</file>

<file path=docProps/custom.xml><?xml version="1.0" encoding="utf-8"?>
<Properties xmlns="http://schemas.openxmlformats.org/officeDocument/2006/custom-properties" xmlns:vt="http://schemas.openxmlformats.org/officeDocument/2006/docPropsVTypes"/>
</file>