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bookmarkStart w:id="20" w:name="abstract"/>
    <w:p>
      <w:pPr>
        <w:pStyle w:val="Heading2"/>
      </w:pPr>
      <w:r>
        <w:t xml:space="preserve">Abstract</w:t>
      </w:r>
    </w:p>
    <w:p>
      <w:pPr>
        <w:pStyle w:val="FirstParagraph"/>
      </w:pPr>
      <w:r>
        <w:t xml:space="preserve">This exploratory questionnaire study examines how mainly Pakistani respondents experienced Chinese-university-linked language courses when live instruction moved off campus during COVID-19 emergency remote teaching. It proposes</w:t>
      </w:r>
      <w:r>
        <w:t xml:space="preserve"> </w:t>
      </w:r>
      <w:r>
        <w:rPr>
          <w:iCs/>
          <w:i/>
        </w:rPr>
        <w:t xml:space="preserve">localisation of delivery</w:t>
      </w:r>
      <w:r>
        <w:t xml:space="preserve">: institutional adaptation of time, platform, task, participation mode, and assessment to the receiving context. Thirty-eight adults completed a Chinese-medium Wenjuan questionnaire in February 2022. Unstable networks (76.3%) and power interruptions (42.1%) were commonly reported, while 36.8% reported very high stress. Respondents who reported that home conditions affected study</w:t>
      </w:r>
      <w:r>
        <w:t xml:space="preserve"> </w:t>
      </w:r>
      <w:r>
        <w:t xml:space="preserve">“</w:t>
      </w:r>
      <w:r>
        <w:t xml:space="preserve">very much</w:t>
      </w:r>
      <w:r>
        <w:t xml:space="preserve">”</w:t>
      </w:r>
      <w:r>
        <w:t xml:space="preserve"> </w:t>
      </w:r>
      <w:r>
        <w:t xml:space="preserve">more often reported very high stress (11/14 versus 3/24; Fisher’s exact (p = .00008)). Worse reported internet speed was associated with a more negative perceived online-learning appraisal index ((</w:t>
      </w:r>
      <w:r>
        <w:t xml:space="preserve">= .65), 95% bootstrap CI ([.36, .84])). Respondents also reported uneven platform access, with QQ and Chaoxing frequently marked unusable and Zoom and WhatsApp more often marked available. The findings suggest that ICLE localisation may need to address delivery-context fit alongside content and materials adaptation. Given the small network-recruited 2022 sample, the findings are exploratory and do not represent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International Chinese language education (ICLE) has treated localisation mainly as a problem of content and materials: local examples, annotation, and cultural comparison so that a travelling syllabus becomes learnable in a place (Zhao, 2020; Lu et al., 2024). This study proposes a further layer.</w:t>
      </w:r>
      <w:r>
        <w:t xml:space="preserve"> </w:t>
      </w:r>
      <w:r>
        <w:rPr>
          <w:iCs/>
          <w:i/>
        </w:rPr>
        <w:t xml:space="preserve">Localisation of delivery</w:t>
      </w:r>
      <w:r>
        <w:t xml:space="preserve"> </w:t>
      </w:r>
      <w:r>
        <w:t xml:space="preserve">is the institutional adaptation of time, platform, task, participation mode, and assessment to the receiving context. It differs from learner-side accessibility and from digital inclusion. Those terms describe conditions that students face. Localisation of delivery names a design task for the institution that sends the course.</w:t>
      </w:r>
    </w:p>
    <w:p>
      <w:pPr>
        <w:pStyle w:val="BodyText"/>
      </w:pPr>
      <w:r>
        <w:t xml:space="preserve">Emergency remote teaching (Hodges et al., 2020) is the historical setting in which that task became visible, not the theoretical centre of the paper. When Chinese universities moved instruction online in 2020, many students of Pakistani nationality remained connected to Chinese-university language courses while sitting outside the campus infrastructure. A</w:t>
      </w:r>
      <w:r>
        <w:t xml:space="preserve"> </w:t>
      </w:r>
      <w:r>
        <w:rPr>
          <w:iCs/>
          <w:i/>
        </w:rPr>
        <w:t xml:space="preserve">travelling course</w:t>
      </w:r>
      <w:r>
        <w:t xml:space="preserve">, as used here, is an institutionally designed course whose timetable, platforms, tasks, and assessment arrangements were created for one institutional setting but enacted in another (Gacs et al., 2020). Emergency-period Chinese-university language courses often relied on synchronous instruction and platforms used in Chinese higher education, although the present questionnaire did not document the specific institutional requirements faced by each respondent.</w:t>
      </w:r>
    </w:p>
    <w:p>
      <w:pPr>
        <w:pStyle w:val="BodyText"/>
      </w:pPr>
      <w:r>
        <w:t xml:space="preserve">Pakistani enrolment in Chinese universities is a documented case of South–South academic mobility, structured by scholarships and the China–Pakistan Economic Corridor rather than by the more familiar</w:t>
      </w:r>
      <w:r>
        <w:t xml:space="preserve"> </w:t>
      </w:r>
      <w:r>
        <w:t xml:space="preserve">“</w:t>
      </w:r>
      <w:r>
        <w:t xml:space="preserve">international student already on a Chinese campus</w:t>
      </w:r>
      <w:r>
        <w:t xml:space="preserve">”</w:t>
      </w:r>
      <w:r>
        <w:t xml:space="preserve"> </w:t>
      </w:r>
      <w:r>
        <w:t xml:space="preserve">story (Iftikhar et al., 2024; Tu, 2026; Gao &amp; Hua, 2021). This study does not treat the 38 respondents as a census of that mobility, nor as a verified enrolment record. The questionnaire did not collect host university, programme type, degree status, or recruitment source. Most respondents ticked that they were taking required and/or elective courses online. The analysis therefore treats the group as a self-selected, likely Chinese-university-connected respondent sample. Nine submissions carried mainland-China IP metadata and twenty-nine did not. Those metadata are technical records, not verified locations, because a virtual private network can change an apparent address. The study does not treat the dataset as a Pakistan-resident sample and does not analyse IP as a proxy for where respondents sat.</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did selected household and connectivity reports co-occur with very high stress and with perceived online-learning appraisal?</w:t>
      </w:r>
    </w:p>
    <w:p>
      <w:pPr>
        <w:numPr>
          <w:ilvl w:val="0"/>
          <w:numId w:val="1001"/>
        </w:numPr>
        <w:pStyle w:val="Compact"/>
      </w:pPr>
      <w:r>
        <w:t xml:space="preserve">How did respondents judge whether online Chinese could replace campus classes?</w:t>
      </w:r>
    </w:p>
    <w:p>
      <w:pPr>
        <w:pStyle w:val="FirstParagraph"/>
      </w:pPr>
      <w:r>
        <w:t xml:space="preserve">The analysis is exploratory. Associations are reported as counts, exact tests, and rank correlations in this network. They are not confirmatory tests of a population model.</w:t>
      </w:r>
    </w:p>
    <w:bookmarkEnd w:id="21"/>
    <w:bookmarkStart w:id="26" w:name="literature-and-framework"/>
    <w:p>
      <w:pPr>
        <w:pStyle w:val="Heading2"/>
      </w:pPr>
      <w:r>
        <w:t xml:space="preserve">2. Literature and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distinguished emergency remote teaching from planned online or blended courses. Gacs, Goertler and Spasova (2020) applied that distinction to languages. Reviews of language-teacher responses during the conversion to online teaching report thinner interaction and the entry of the domestic setting into the lesson (MacIntyre et al., 2020; Moorhouse &amp; Kohnke, 2021). Those studies are cited as emergency-teaching context, not as direct evidence of student stress in the present dataset.</w:t>
      </w:r>
    </w:p>
    <w:p>
      <w:pPr>
        <w:pStyle w:val="BodyText"/>
      </w:pPr>
      <w:r>
        <w:t xml:space="preserve">Later work described technological normalisation after the return to campus (Moorhouse, 2023; Moorhouse, Wong, &amp; Li, 2023) and warned that copying face-to-face teaching on videoconferencing was a limited lesson from the crisis (Stockwell &amp; Wang, 2023). For Chinese, contemporaneous papers documented</w:t>
      </w:r>
      <w:r>
        <w:t xml:space="preserve"> </w:t>
      </w:r>
      <w:r>
        <w:t xml:space="preserve">“</w:t>
      </w:r>
      <w:r>
        <w:t xml:space="preserve">suspending classes without stopping learning</w:t>
      </w:r>
      <w:r>
        <w:t xml:space="preserve">”</w:t>
      </w:r>
      <w:r>
        <w:t xml:space="preserve"> </w:t>
      </w:r>
      <w:r>
        <w:t xml:space="preserve">and platform trials (Zhang et al., 2020; Xia et al., 2022). A later review of online ICLE teaching models still lists technical issues, weak interaction, and time-zone problems (Li &amp; Li, 2024). Much of that literature assumes a relatively stable connection. This exploratory questionnaire cannot test whether that assumption holds for current hybrid ICLE. It can describe what 38 respondents reported in February 2022.</w:t>
      </w:r>
    </w:p>
    <w:bookmarkEnd w:id="22"/>
    <w:bookmarkStart w:id="23" w:name="X2a1706acb855f9b47e20bf43e0bff03a0be2114"/>
    <w:p>
      <w:pPr>
        <w:pStyle w:val="Heading3"/>
      </w:pPr>
      <w:r>
        <w:t xml:space="preserve">2.2 Digital inequality and home learning ecology</w:t>
      </w:r>
    </w:p>
    <w:p>
      <w:pPr>
        <w:pStyle w:val="FirstParagraph"/>
      </w:pPr>
      <w:r>
        <w:t xml:space="preserve">Later digital-divide models describe a sequence of motivational, material, skills, usage, and outcome access (van Dijk, 2020; Helsper, 2021; Warschauer, 2003). Device ownership is not the same as taking part (Ali, 2020). In Pakistan, household use of educational technology is also structured by device sharing, care work, and electricity (Raza &amp; Hennessy, 2025). That report is grey literature and is used only as background on household conditions, not as a standalone empirical claim about this sample.</w:t>
      </w:r>
    </w:p>
    <w:p>
      <w:pPr>
        <w:pStyle w:val="BodyText"/>
      </w:pPr>
      <w:r>
        <w:t xml:space="preserve">Ecological views of language education take the setting of the class, not only the student plus the application, as the unit of analysis (van Lier, 2004; Guerrettaz et al., 2021). In this paper that setting is described as a</w:t>
      </w:r>
      <w:r>
        <w:t xml:space="preserve"> </w:t>
      </w:r>
      <w:r>
        <w:rPr>
          <w:iCs/>
          <w:i/>
        </w:rPr>
        <w:t xml:space="preserve">home learning ecology</w:t>
      </w:r>
      <w:r>
        <w:t xml:space="preserve">: domestic space, paid or care work, and the conditions of oral participation. Electricity interruptions, applications marked unusable, and weak bandwidth are treated as material and infrastructural conditions, not as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meant personalising content so that it speaks to a particular group (McDonough &amp; Shaw, 2003; Tomlinson, 2011). Canagarajah (2005) and Kumaravadivelu (2001) locate pedagogy in a specific group and place. China’s promotion of Chinese has long been tied to institutes, textbooks, and tests (Zhao &amp; Huang, 2010). ICLE studies have applied localisation to curriculum construction and textbook adaptation (Zhao, 2020; Lu et al., 2024). Lam (2024) treats glocalisation as fitting a travelling literacy to a local university classroom. Guerrettaz et al. (2021) extend materials from the page to use. If the material is a live class, use includes whether the class can be entered.</w:t>
      </w:r>
    </w:p>
    <w:p>
      <w:pPr>
        <w:pStyle w:val="BodyText"/>
      </w:pPr>
      <w:r>
        <w:t xml:space="preserve">Four layers can be distinguished:</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The analysis addresses only the fourth layer. Accessibility and digital inclusion describe constraints that learners report. Localisation of delivery is the institutional response: changing the live hour, the required application, the oral task, or the assessment so that the travelling course can be used where the student actually sits. The questionnaire did not observe institutions adapting. It recorded student-side conditions that, if taken seriously, would require such adaptation.</w:t>
      </w:r>
    </w:p>
    <w:p>
      <w:pPr>
        <w:pStyle w:val="BodyText"/>
      </w:pPr>
      <w:r>
        <w:rPr>
          <w:bCs/>
          <w:b/>
        </w:rPr>
        <w:t xml:space="preserve">Proposition.</w:t>
      </w:r>
      <w:r>
        <w:t xml:space="preserve"> </w:t>
      </w:r>
      <w:r>
        <w:t xml:space="preserve">A course is not fully localised merely because its content is culturally or linguistically adapted; it is localised in delivery only when its required time, platform, participation mode, task design, and assessment are feasible in the setting where learners participate.</w:t>
      </w:r>
    </w:p>
    <w:p>
      <w:pPr>
        <w:pStyle w:val="BodyText"/>
      </w:pPr>
      <w:r>
        <w:t xml:space="preserve">Gong, Gao and Lyu (2020) review ICLE in mainland China for 2014–2018 and are cited for that pre-pandemic field map, not as post-COVID evidence. Gao and Hua (2021) and Gong, Gao, Li and Lai (2020) document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present respondents completed a Chinese-medium form about online Chinese classes, and most reported taking required and/or elective courses online. They were not a Confucius Institute classroom sample.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a reading model, not a tested path. Household infrastructure and reported platform access are concurrent conditions of a travelling course. They are described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3" w:name="the-study"/>
    <w:p>
      <w:pPr>
        <w:pStyle w:val="Heading2"/>
      </w:pPr>
      <w:r>
        <w:t xml:space="preserve">3. The study</w:t>
      </w:r>
    </w:p>
    <w:bookmarkStart w:id="27" w:name="design"/>
    <w:p>
      <w:pPr>
        <w:pStyle w:val="Heading3"/>
      </w:pPr>
      <w:r>
        <w:t xml:space="preserve">3.1 Design</w:t>
      </w:r>
    </w:p>
    <w:p>
      <w:pPr>
        <w:pStyle w:val="FirstParagraph"/>
      </w:pPr>
      <w:r>
        <w:t xml:space="preserve">The study is an exploratory, cross-sectional questionnaire. It does not test a pre-registered confirmatory model. The instrument title on the Wenjuan export is 新冠肺炎期间留学生在线中文学习的影响因素 (Influencing factors in international students’ online Chinese learning during COVID-19). Complete cases were submitted between 5 and 8 February 2022 (N = 38).</w:t>
      </w:r>
    </w:p>
    <w:bookmarkEnd w:id="27"/>
    <w:bookmarkStart w:id="28" w:name="recruitment-and-eligibility"/>
    <w:p>
      <w:pPr>
        <w:pStyle w:val="Heading3"/>
      </w:pPr>
      <w:r>
        <w:t xml:space="preserve">3.2 Recruitment and eligibility</w:t>
      </w:r>
    </w:p>
    <w:p>
      <w:pPr>
        <w:pStyle w:val="FirstParagraph"/>
      </w:pPr>
      <w:r>
        <w:t xml:space="preserve">The dataset is a convenience sample. The form did not record how the link was distributed (for example WeChat, WhatsApp, email, or student groups). The research team therefore cannot name the recruitment channel. Respondents were adults who completed the Chinese-medium form about online Chinese learning. Completion of the form is not treated as proof of enrolment in a Chinese university. The form did not ask host university, city of residence that week, degree versus non-degree status, or scholarship type. Two items asked whether required courses and electives were online (71.1% and 60.5% ticked those options). Those ticks do not identify a named programme. The study therefore concerns a self-selected, likely Chinese-university-connected respondent group, not verified enrolment records.</w:t>
      </w:r>
    </w:p>
    <w:bookmarkEnd w:id="28"/>
    <w:bookmarkStart w:id="29" w:name="participants"/>
    <w:p>
      <w:pPr>
        <w:pStyle w:val="Heading3"/>
      </w:pPr>
      <w:r>
        <w:t xml:space="preserve">3.3 Participants</w:t>
      </w:r>
    </w:p>
    <w:p>
      <w:pPr>
        <w:pStyle w:val="FirstParagraph"/>
      </w:pPr>
      <w:r>
        <w:t xml:space="preserve">Of 38 respondents, 27 were men (71.1%) and 11 women (28.9%). Thirty-seven selected Pakistani nationality and one selected another nationality. Self-rated Chinese level was mostly advanced (22, 57.9%) or intermediate (15, 39.5%); one beginner. That label is the student’s own, not an HSK band. Years of learning Chinese clustered at three to four years (26, 68.4%). Wenjuan submission metadata classified the operating system as iPhone (24, 63.2%) or Android (14). That variable is the device used to submit the form, not a survey item about all devices used for class.</w:t>
      </w:r>
    </w:p>
    <w:p>
      <w:pPr>
        <w:pStyle w:val="BodyText"/>
      </w:pPr>
      <w:r>
        <w:t xml:space="preserve">Wenjuan automatically recorded an IP-province field. The research team coded a dummy when that field was a mainland China province name (9 of 38). IP labels are technical metadata. They can be affected by virtual private networks and proxies and are not a reliable measure of physical location. They are not used as a participant-location variable and are not the basis of a sensitivity analysis. The dummy, submission dates, and device identifiers are not included in the public dataset.</w:t>
      </w:r>
    </w:p>
    <w:p>
      <w:pPr>
        <w:pStyle w:val="BodyText"/>
      </w:pPr>
      <w:r>
        <w:t xml:space="preserve">The sample is described as</w:t>
      </w:r>
      <w:r>
        <w:t xml:space="preserve"> </w:t>
      </w:r>
      <w:r>
        <w:rPr>
          <w:iCs/>
          <w:i/>
        </w:rPr>
        <w:t xml:space="preserve">mainly Pakistani respondents reporting online Chinese coursework connected to Chinese higher education</w:t>
      </w:r>
      <w:r>
        <w:t xml:space="preserve">. It is not described as verified Chinese-university enrolment, as students exclusively in Pakistan, as CSC students, or as a draw from all Pakistani students in Chinese universities.</w:t>
      </w:r>
    </w:p>
    <w:bookmarkEnd w:id="29"/>
    <w:bookmarkStart w:id="30" w:name="instrument-and-coding"/>
    <w:p>
      <w:pPr>
        <w:pStyle w:val="Heading3"/>
      </w:pPr>
      <w:r>
        <w:t xml:space="preserve">3.4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They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is coded 1 = very high to 4 = none; the focal stress analysis uses a dummy for very high stress and does not reverse the ordinal. Full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The introduction’s references to load-shedding are contextual. In results we report the item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3.5 Analysis</w:t>
      </w:r>
    </w:p>
    <w:p>
      <w:pPr>
        <w:pStyle w:val="FirstParagraph"/>
      </w:pPr>
      <w:r>
        <w:t xml:space="preserve">Frequencies are n/38 unless noted. Multiple-response items are the percentage who selected the option. Two associations were treated as focal: (a) home affects study very much × very high stress; (b) internet speed × the appraisal index. For the 2×2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3.6 Ethics and data protection</w:t>
      </w:r>
    </w:p>
    <w:p>
      <w:pPr>
        <w:pStyle w:val="FirstParagraph"/>
      </w:pPr>
      <w:r>
        <w:t xml:space="preserve">Adult respondents completed an online form presented as research on online Chinese learning. The form stated that answers would be used for research.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numbered approval was not obtained. This paper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reported conditions. Unstable networks (76.3%) and power interruptions (42.1%) were commonly ticked. Speed was split: 36.8% good or very good, 36.8% average, 26.3% bad or very bad. Four respondents (10.5%) said their country did not have internet, yet all 38 submitted an online form. The item wording does not allow a firm reinterpretation; we report the tick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reported very high psychological stress; among the others, 3 of 24 did (two-sided Fisher’s exact</w:t>
      </w:r>
      <w:r>
        <w:t xml:space="preserve"> </w:t>
      </w:r>
      <w:r>
        <w:rPr>
          <w:iCs/>
          <w:i/>
        </w:rPr>
        <w:t xml:space="preserve">p</w:t>
      </w:r>
      <w:r>
        <w:t xml:space="preserve"> </w:t>
      </w:r>
      <w:r>
        <w:t xml:space="preserve">= .00008). This is a co-occurrence in this dataset. It is not evidence that the household caused stress. The most salient descriptive stress finding was that 36.8% reported very high stress.</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This pattern is interpreted as a possible platform-geography dimension of delivery-context fit. The survey cannot isolate country restrictions, routing, account rules, skills, or virtual private networks.</w:t>
      </w:r>
    </w:p>
    <w:p>
      <w:pPr>
        <w:pStyle w:val="BodyText"/>
      </w:pPr>
      <w:r>
        <w:t xml:space="preserve">Tools reported as used for class were Tencent Meeting (71.1%), Zoom (47.4%), and WeChat (31.6%). Tools marked unusable</w:t>
      </w:r>
      <w:r>
        <w:t xml:space="preserve"> </w:t>
      </w:r>
      <w:r>
        <w:t xml:space="preserve">“</w:t>
      </w:r>
      <w:r>
        <w:t xml:space="preserve">in my country</w:t>
      </w:r>
      <w:r>
        <w:t xml:space="preserve">”</w:t>
      </w:r>
      <w:r>
        <w:t xml:space="preserve"> </w:t>
      </w:r>
      <w:r>
        <w:t xml:space="preserve">included QQ (50.0%), Chaoxing (42.1%), DingTalk (28.9%), and 中国慕课 (28.9%). Tools marked available included Zoom (71.1%), WhatsApp (68.4%), Tencent Meeting (57.9%), and WeChat (39.5%). WhatsApp appears only as available; the retained form did not code whether it was used for class. Tencent Meeting was the most used class tool but was marked available by fewer respondents. That discrepancy is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Classroom talk, when ticked,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ticks (unstable network, power interruptions, no signal) was not associated with the index (ρ = .02,</w:t>
      </w:r>
      <w:r>
        <w:t xml:space="preserve"> </w:t>
      </w:r>
      <w:r>
        <w:rPr>
          <w:iCs/>
          <w:i/>
        </w:rPr>
        <w:t xml:space="preserve">p</w:t>
      </w:r>
      <w:r>
        <w:t xml:space="preserve"> </w:t>
      </w:r>
      <w:r>
        <w:t xml:space="preserve">= .91, percentile bootstrap 95% CI [−.32, .37]). The count is an exploratory post hoc descriptive indicator. Unstable network and no signal may overlap, and power interruptions are a different infrastructure layer. The non-significant correlation is therefore not interpreted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11 women this is a cautious exploratory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This historically situated dataset suggests a possible delivery-context mismatch: respondents reporting online Chinese coursework connected to Chinese higher education also reported household power and network problems and uneven access to applications often used in that sector. Localisation of content and materials remains necessary (Zhao, 2020; Lu et al., 2024). In this sample, those layers would not have addressed the live hour that respondents associated with an unstable connection or an application marked unusable.</w:t>
      </w:r>
    </w:p>
    <w:p>
      <w:pPr>
        <w:pStyle w:val="BodyText"/>
      </w:pPr>
      <w:r>
        <w:t xml:space="preserve">Based on these findings, possible design considerations, rather than established solutions, include shorter or asynchronous oral alternatives, assessment that does not assume a campus oral hour, and a required platform that respondents can open. WhatsApp was marked available here; it was not recorded as used for class. The findings do not show that later hybrid ICLE has repeated this pattern. They suggest that hybrid models</w:t>
      </w:r>
      <w:r>
        <w:t xml:space="preserve"> </w:t>
      </w:r>
      <w:r>
        <w:rPr>
          <w:iCs/>
          <w:i/>
        </w:rPr>
        <w:t xml:space="preserve">may</w:t>
      </w:r>
      <w:r>
        <w:t xml:space="preserve"> </w:t>
      </w:r>
      <w:r>
        <w:t xml:space="preserve">reproduce a similar mismatch if delivery assumptions are not examined (Stockwell &amp; Wang, 2023).</w:t>
      </w:r>
    </w:p>
    <w:p>
      <w:pPr>
        <w:pStyle w:val="BodyText"/>
      </w:pPr>
      <w:r>
        <w:t xml:space="preserve">Participation in this dataset co-occurred with reported platform access, power and connectivity problems, and a home environment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limitations"/>
    <w:p>
      <w:pPr>
        <w:pStyle w:val="Heading2"/>
      </w:pPr>
      <w:r>
        <w:t xml:space="preserve">6.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The infrastructure-problem count is an unvalidated post hoc indicator. The form did not measure institutional adaptation, so localisation of delivery is a conceptual reading of student-side conditions. Data are from February 2022 and concern emergency remote teaching. They are not evidence about current hybrid education. No ethics-committee number is available for the 2022 collection (Section 3.6).</w:t>
      </w:r>
    </w:p>
    <w:bookmarkEnd w:id="40"/>
    <w:bookmarkStart w:id="41" w:name="conclusion"/>
    <w:p>
      <w:pPr>
        <w:pStyle w:val="Heading2"/>
      </w:pPr>
      <w:r>
        <w:t xml:space="preserve">7. Conclusion</w:t>
      </w:r>
    </w:p>
    <w:p>
      <w:pPr>
        <w:pStyle w:val="FirstParagraph"/>
      </w:pPr>
      <w:r>
        <w:t xml:space="preserve">In this exploratory emergency-remote-teaching sample of mainly Pakistani respondents reporting online Chinese coursework, reported household infrastructure and platform access co-occurred with very high stress and with more negative perceived-learning appraisal. The conceptual suggestion is that ICLE localisation may need to include delivery-context fit—time, platform, task, participation mode, and assessment—as well as content adaptation. That suggestion is bounded by N = 38 and by a 2022 dataset.</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Holistic, situated, and dynamic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Iftikhar, A., Li, C., Jiangyu, L., Xi, C., Tao, W., &amp; Haider, A. A. (2024). Perceptions, challenges, and opportunities of Chinese language learning in Punjab and Sindh, Pakistan: Exploring the role of CPEC.</w:t>
      </w:r>
      <w:r>
        <w:t xml:space="preserve"> </w:t>
      </w:r>
      <w:r>
        <w:rPr>
          <w:iCs/>
          <w:i/>
        </w:rPr>
        <w:t xml:space="preserve">New Directions for Child and Adolescent Development, 2024</w:t>
      </w:r>
      <w:r>
        <w:t xml:space="preserve">, Article 6662409. https://doi.org/10.1155/2024/6662409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102313. https://doi.org/10.1016/j.system.2020.102313</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2026-08-23T06:57:20Z</dcterms:created>
  <dcterms:modified xsi:type="dcterms:W3CDTF">2026-08-23T06:57:20Z</dcterms:modified>
</cp:coreProperties>
</file>

<file path=docProps/custom.xml><?xml version="1.0" encoding="utf-8"?>
<Properties xmlns="http://schemas.openxmlformats.org/officeDocument/2006/custom-properties" xmlns:vt="http://schemas.openxmlformats.org/officeDocument/2006/docPropsVTypes"/>
</file>