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3dd3c1113d3a06d75a25a5882d015703c70c3b5"/>
    <w:p>
      <w:pPr>
        <w:pStyle w:val="Heading1"/>
      </w:pPr>
      <w:r>
        <w:t xml:space="preserve">Home conditions and platform access in a 2022 online Chinese questionnaire</w:t>
      </w:r>
    </w:p>
    <w:p>
      <w:pPr>
        <w:pStyle w:val="FirstParagraph"/>
      </w:pPr>
      <w:r>
        <w:rPr>
          <w:bCs/>
          <w:b/>
        </w:rPr>
        <w:t xml:space="preserve">Short title:</w:t>
      </w:r>
      <w:r>
        <w:t xml:space="preserve"> </w:t>
      </w:r>
      <w:r>
        <w:t xml:space="preserve">Home and platform access</w:t>
      </w:r>
    </w:p>
    <w:bookmarkStart w:id="20" w:name="abstract"/>
    <w:p>
      <w:pPr>
        <w:pStyle w:val="Heading2"/>
      </w:pPr>
      <w:r>
        <w:t xml:space="preserve">Abstract</w:t>
      </w:r>
    </w:p>
    <w:p>
      <w:pPr>
        <w:pStyle w:val="FirstParagraph"/>
      </w:pPr>
      <w:r>
        <w:t xml:space="preserve">This study reports 38 completed questionnaires, written in Chinese, collected in February 2022 from respondents who said they were taking online Chinese courses. Thirty-seven selected Pakistani nationality. Unstable networks and power interruptions were common. Respondents who said home conditions affected study very much also more often selected very high stress. Worse reported internet speed went with a more negative view of online learning. QQ and Chaoxing were often marked unusable. Zoom and WhatsApp were more often marked available. The sample is small, enrollment was not verified, and the date is emergency remote teaching, so the results do not describe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introduction"/>
    <w:p>
      <w:pPr>
        <w:pStyle w:val="Heading2"/>
      </w:pPr>
      <w:r>
        <w:t xml:space="preserve">1. Introduction</w:t>
      </w:r>
    </w:p>
    <w:p>
      <w:pPr>
        <w:pStyle w:val="FirstParagraph"/>
      </w:pPr>
      <w:r>
        <w:t xml:space="preserve">During COVID-19, many language programs moved a campus hour online without redesigning it as a planned online course. Hodges et al. (2020) called that emergency remote teaching. Gacs, Goertler, and Spasova (2020) made the same point for language classes: a live hour still assumes that students can join. Tao and Gao (2022) read the emergency literature as a story of technical disruption and thinner talk. A device in the house is not enough if there is no power, little speed, or no usable application (Warschauer, 2003). Those are learner-side conditions. This paper counts them on one form.</w:t>
      </w:r>
    </w:p>
    <w:p>
      <w:pPr>
        <w:pStyle w:val="BodyText"/>
      </w:pPr>
      <w:r>
        <w:t xml:space="preserve">Those difficulties are often named. They are less often counted from the learner’s side, with household items and named platforms on the same questionnaire. Xu, Jin, Deifell, and Angus (2022) showed how character teaching was adapted on the sending side. Yu and Xu (2022) surveyed 153 South Asian students in China on online learning during the pandemic. They reported generally positive learning status, and they linked autonomous learning to how students judged the effect. Their form did not count household power, network speed, or whether named applications were marked unusable. Jin, Xu, and Deifell (2023) reported what faculty thought about pandemic online teaching. Li and Li (2024) still say more about tools than about household access.</w:t>
      </w:r>
    </w:p>
    <w:p>
      <w:pPr>
        <w:pStyle w:val="BodyText"/>
      </w:pPr>
      <w:r>
        <w:t xml:space="preserve">This study reports questionnaire data from the learner side. Thirty-eight respondents who said they were taking online Chinese courses completed a form written in Chinese in February 2022. The form asked about home conditions, connectivity, and platform access, and about stress and their view of online learning. Thirty-seven selected Pakistani nationality. Residence, university, and program were not asked, so those boxes are not inferred. Completing the form is not treated as proof of enrollment.</w:t>
      </w:r>
    </w:p>
    <w:p>
      <w:pPr>
        <w:pStyle w:val="BodyText"/>
      </w:pPr>
      <w:r>
        <w:t xml:space="preserve">What household, connectivity, and named-platform conditions did these 38 respondents report in February 2022?</w:t>
      </w:r>
    </w:p>
    <w:p>
      <w:pPr>
        <w:pStyle w:val="BodyText"/>
      </w:pPr>
      <w:r>
        <w:rPr>
          <w:bCs/>
          <w:b/>
        </w:rPr>
        <w:t xml:space="preserve">RQ1.</w:t>
      </w:r>
      <w:r>
        <w:t xml:space="preserve"> </w:t>
      </w:r>
      <w:r>
        <w:t xml:space="preserve">What household, connectivity, and platform-access conditions did the 38 respondents report?</w:t>
      </w:r>
    </w:p>
    <w:p>
      <w:pPr>
        <w:pStyle w:val="BodyText"/>
      </w:pPr>
      <w:r>
        <w:rPr>
          <w:bCs/>
          <w:b/>
        </w:rPr>
        <w:t xml:space="preserve">RQ2 (exploratory).</w:t>
      </w:r>
      <w:r>
        <w:t xml:space="preserve"> </w:t>
      </w:r>
      <w:r>
        <w:t xml:space="preserve">In the same form, how did those reports sit alongside</w:t>
      </w:r>
      <w:r>
        <w:t xml:space="preserve"> </w:t>
      </w:r>
      <w:r>
        <w:t xml:space="preserve">“</w:t>
      </w:r>
      <w:r>
        <w:t xml:space="preserve">very high stress</w:t>
      </w:r>
      <w:r>
        <w:t xml:space="preserve">”</w:t>
      </w:r>
      <w:r>
        <w:t xml:space="preserve"> </w:t>
      </w:r>
      <w:r>
        <w:t xml:space="preserve">and a three-item appraisal of online learning?</w:t>
      </w:r>
    </w:p>
    <w:p>
      <w:pPr>
        <w:pStyle w:val="BodyText"/>
      </w:pPr>
      <w:r>
        <w:t xml:space="preserve">RQ2 reports co-occurrence on the same form. It is not a causal test.</w:t>
      </w:r>
    </w:p>
    <w:p>
      <w:pPr>
        <w:pStyle w:val="BodyText"/>
      </w:pPr>
      <w:r>
        <w:t xml:space="preserve">The answers are grouped under three headings that follow the items on the form: home and connection, named platforms, and stress with appraisal.</w:t>
      </w:r>
    </w:p>
    <w:bookmarkEnd w:id="21"/>
    <w:bookmarkStart w:id="22" w:name="methods"/>
    <w:p>
      <w:pPr>
        <w:pStyle w:val="Heading2"/>
      </w:pPr>
      <w:r>
        <w:t xml:space="preserve">2. Methods</w:t>
      </w:r>
    </w:p>
    <w:p>
      <w:pPr>
        <w:pStyle w:val="FirstParagraph"/>
      </w:pPr>
      <w:r>
        <w:t xml:space="preserve">The study is an exploratory, cross-sectional questionnaire. Complete cases were submitted on Wenjuan between 5 and 8 February 2022 (N = 38). The export title is Influencing factors in international students’ online Chinese learning during COVID-19. The items are those on that form. There was no recorded pilot. The link circulation was not stored. Completing a questionnaire written in Chinese is not treated as proof of enrollment in a named university.</w:t>
      </w:r>
    </w:p>
    <w:p>
      <w:pPr>
        <w:pStyle w:val="BodyText"/>
      </w:pPr>
      <w:r>
        <w:t xml:space="preserve">Of the 38 respondents, 27 were men and 11 were women. Thirty-seven selected Pakistani nationality. Self-rated Chinese was advanced for 22, intermediate for 15, and beginner for one. Years of learning Chinese clustered at three to four years (26 of 38). Twenty-seven said required courses were online, and 23 said electives were. Thirty said all of their Chinese classes were online. Twenty-two said they were working while studying. Submission operating system was iPhone (24) or Android (14). That is the device used to send the form. An IP-province field was stored; nine labels were mainland China province names. IP is not used as a location variable.</w:t>
      </w:r>
    </w:p>
    <w:p>
      <w:pPr>
        <w:pStyle w:val="BodyText"/>
      </w:pPr>
      <w:r>
        <w:t xml:space="preserve">The questionnaire had about 30 items. Reporting uses English glosses. A three-item appraisal mean was formed from learned much (Q8), improves Chinese (Q9), and sparks interest (Q10). Cronbach’s α was .84 in this sample. The mean is descriptive, not a validated scale. Higher values on speed and on the three appraisal items indicate a worse report.</w:t>
      </w:r>
      <w:r>
        <w:t xml:space="preserve"> </w:t>
      </w:r>
      <w:r>
        <w:rPr>
          <w:iCs/>
          <w:i/>
        </w:rPr>
        <w:t xml:space="preserve">Very high stress</w:t>
      </w:r>
      <w:r>
        <w:t xml:space="preserve"> </w:t>
      </w:r>
      <w:r>
        <w:t xml:space="preserve">is the first category on a four-category item.</w:t>
      </w:r>
      <w:r>
        <w:t xml:space="preserve"> </w:t>
      </w:r>
      <w:r>
        <w:rPr>
          <w:iCs/>
          <w:i/>
        </w:rPr>
        <w:t xml:space="preserve">Power interruptions</w:t>
      </w:r>
      <w:r>
        <w:t xml:space="preserve"> </w:t>
      </w:r>
      <w:r>
        <w:t xml:space="preserve">is the export option</w:t>
      </w:r>
      <w:r>
        <w:t xml:space="preserve"> </w:t>
      </w:r>
      <w:r>
        <w:t xml:space="preserve">“</w:t>
      </w:r>
      <w:r>
        <w:t xml:space="preserve">no electricity.</w:t>
      </w:r>
      <w:r>
        <w:t xml:space="preserve">”</w:t>
      </w:r>
      <w:r>
        <w:t xml:space="preserve"> </w:t>
      </w:r>
      <w:r>
        <w:t xml:space="preserve">Chinese MOOC is reported as printed on the form.</w:t>
      </w:r>
    </w:p>
    <w:p>
      <w:pPr>
        <w:pStyle w:val="BodyText"/>
      </w:pPr>
      <w:r>
        <w:t xml:space="preserve">Household and platform answers are frequencies. Two associations are reported: home affects study very much with very high stress (two-sided Fisher’s exact test), and internet speed with the appraisal mean (Spearman’s ρ, percentile bootstrap 95% CI, 5,000 resamples). The replacement item is a count. Odds ratios are not reported. Frequencies are n/38 unless noted.</w:t>
      </w:r>
    </w:p>
    <w:p>
      <w:pPr>
        <w:pStyle w:val="BodyText"/>
      </w:pPr>
      <w:r>
        <w:t xml:space="preserve">The form said answers would be used for research. Completion was treated as consent. No ethics-committee number is available for the 2022 collection. Names, IP addresses, exact timestamps, and device identifiers were removed before the public dataset was prepared.</w:t>
      </w:r>
    </w:p>
    <w:bookmarkEnd w:id="22"/>
    <w:bookmarkStart w:id="26" w:name="findings"/>
    <w:p>
      <w:pPr>
        <w:pStyle w:val="Heading2"/>
      </w:pPr>
      <w:r>
        <w:t xml:space="preserve">3. Findings</w:t>
      </w:r>
    </w:p>
    <w:p>
      <w:pPr>
        <w:pStyle w:val="FirstParagraph"/>
      </w:pPr>
      <w:r>
        <w:t xml:space="preserve">The headings below group the questionnaire items. They are not interview codes.</w:t>
      </w:r>
    </w:p>
    <w:bookmarkStart w:id="23" w:name="home-and-connection"/>
    <w:p>
      <w:pPr>
        <w:pStyle w:val="Heading3"/>
      </w:pPr>
      <w:r>
        <w:t xml:space="preserve">Home and connection</w:t>
      </w:r>
    </w:p>
    <w:p>
      <w:pPr>
        <w:pStyle w:val="FirstParagraph"/>
      </w:pPr>
      <w:r>
        <w:t xml:space="preserve">Most respondents said all of their Chinese classes were online, and more than half said they were working alongside study (Table 1).</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Wenjuan, 5 to 8 February 2022. Device is the operating system recorded at submission.</w:t>
      </w:r>
    </w:p>
    <w:p>
      <w:pPr>
        <w:pStyle w:val="BodyText"/>
      </w:pPr>
      <w:r>
        <w:t xml:space="preserve">Twenty-nine of 38 marked an unstable network. Sixteen marked power interruptions. Twenty-seven said the home was not quiet. Fourteen said the home affected study very much. Four people marked that their country did not have internet, yet all 38 submitted an online form. That answer is left as marked.</w:t>
      </w:r>
    </w:p>
    <w:p>
      <w:pPr>
        <w:pStyle w:val="BodyText"/>
      </w:pPr>
      <w:r>
        <w:rPr>
          <w:bCs/>
          <w:b/>
        </w:rPr>
        <w:t xml:space="preserve">Table 2</w:t>
      </w:r>
    </w:p>
    <w:p>
      <w:pPr>
        <w:pStyle w:val="BodyText"/>
      </w:pPr>
      <w:r>
        <w:rPr>
          <w:iCs/>
          <w:i/>
        </w:rPr>
        <w:t xml:space="preserve">Home and connection items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bl>
    <w:bookmarkEnd w:id="23"/>
    <w:bookmarkStart w:id="24" w:name="named-platforms"/>
    <w:p>
      <w:pPr>
        <w:pStyle w:val="Heading3"/>
      </w:pPr>
      <w:r>
        <w:t xml:space="preserve">Named platforms</w:t>
      </w:r>
    </w:p>
    <w:p>
      <w:pPr>
        <w:pStyle w:val="FirstParagraph"/>
      </w:pPr>
      <w:r>
        <w:t xml:space="preserve">Table 3 is incomplete by design. Some tools were asked as used for class, some as unusable in my country, and some as can use in my country. QQ and Chaoxing were often marked unusable. Zoom and WhatsApp were more often marked available. WhatsApp has no used-for-class column. Tencent Meeting was marked as used by 71.1% and as available by 57.9%. The table cannot separate blocking, accounts, skill, or a virtual private network.</w:t>
      </w:r>
    </w:p>
    <w:p>
      <w:pPr>
        <w:pStyle w:val="BodyText"/>
      </w:pPr>
      <w:r>
        <w:rPr>
          <w:bCs/>
          <w:b/>
        </w:rPr>
        <w:t xml:space="preserve">Table 3</w:t>
      </w:r>
    </w:p>
    <w:p>
      <w:pPr>
        <w:pStyle w:val="BodyText"/>
      </w:pPr>
      <w:r>
        <w:rPr>
          <w:iCs/>
          <w:i/>
        </w:rPr>
        <w:t xml:space="preserve">Named platforms as asked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w:t>
      </w:r>
    </w:p>
    <w:bookmarkEnd w:id="24"/>
    <w:bookmarkStart w:id="25" w:name="stress-appraisal-and-replacement"/>
    <w:p>
      <w:pPr>
        <w:pStyle w:val="Heading3"/>
      </w:pPr>
      <w:r>
        <w:t xml:space="preserve">Stress, appraisal, and replacement</w:t>
      </w:r>
    </w:p>
    <w:p>
      <w:pPr>
        <w:pStyle w:val="FirstParagraph"/>
      </w:pPr>
      <w:r>
        <w:t xml:space="preserve">Fourteen respondents selected very high psychological stress. Eleven said they learned little or nothing online. Nineteen said online study could not replace face-to-face classes, and 19 said it could.</w:t>
      </w:r>
    </w:p>
    <w:p>
      <w:pPr>
        <w:pStyle w:val="BodyText"/>
      </w:pPr>
      <w:r>
        <w:t xml:space="preserve">Among those who said the home affected study very much, 11 of 14 also selected very high stress; among the others, 3 of 24 did (two-sided Fisher’s exact</w:t>
      </w:r>
      <w:r>
        <w:t xml:space="preserve"> </w:t>
      </w:r>
      <w:r>
        <w:rPr>
          <w:iCs/>
          <w:i/>
        </w:rPr>
        <w:t xml:space="preserve">p</w:t>
      </w:r>
      <w:r>
        <w:t xml:space="preserve"> </w:t>
      </w:r>
      <w:r>
        <w:t xml:space="preserve">= .00008). Worse internet speed went with a worse appraisal mean (ρ = .65, percentile bootstrap 95% CI [.36, .84],</w:t>
      </w:r>
      <w:r>
        <w:t xml:space="preserve"> </w:t>
      </w:r>
      <w:r>
        <w:rPr>
          <w:iCs/>
          <w:i/>
        </w:rPr>
        <w:t xml:space="preserve">p</w:t>
      </w:r>
      <w:r>
        <w:t xml:space="preserve"> </w:t>
      </w:r>
      <w:r>
        <w:t xml:space="preserve">&lt; .001). Both pairs come from the same form. They are reported as co-occurrence, not as cause.</w:t>
      </w:r>
    </w:p>
    <w:p>
      <w:pPr>
        <w:pStyle w:val="BodyText"/>
      </w:pPr>
      <w:r>
        <w:rPr>
          <w:bCs/>
          <w:b/>
        </w:rPr>
        <w:t xml:space="preserve">Table 4</w:t>
      </w:r>
    </w:p>
    <w:p>
      <w:pPr>
        <w:pStyle w:val="BodyText"/>
      </w:pPr>
      <w:r>
        <w:rPr>
          <w:iCs/>
          <w:i/>
        </w:rPr>
        <w:t xml:space="preserve">Associations in this sample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bl>
    <w:p>
      <w:pPr>
        <w:pStyle w:val="BodyText"/>
      </w:pPr>
      <w:r>
        <w:t xml:space="preserve">Active interaction with the teacher</w:t>
      </w:r>
      <w:r>
        <w:t xml:space="preserve"> </w:t>
      </w:r>
      <w:r>
        <w:t xml:space="preserve">“</w:t>
      </w:r>
      <w:r>
        <w:t xml:space="preserve">very much</w:t>
      </w:r>
      <w:r>
        <w:t xml:space="preserve">”</w:t>
      </w:r>
      <w:r>
        <w:t xml:space="preserve"> </w:t>
      </w:r>
      <w:r>
        <w:t xml:space="preserve">was marked by 6 of 38. Preferred live length was 45 minutes for 19 respondents and 30 minutes for 11. One open comment said that even one minute online was</w:t>
      </w:r>
      <w:r>
        <w:t xml:space="preserve"> </w:t>
      </w:r>
      <w:r>
        <w:t xml:space="preserve">“</w:t>
      </w:r>
      <w:r>
        <w:t xml:space="preserve">not suitable.</w:t>
      </w:r>
      <w:r>
        <w:t xml:space="preserve">”</w:t>
      </w:r>
    </w:p>
    <w:p>
      <w:pPr>
        <w:pStyle w:val="BodyText"/>
      </w:pPr>
      <w:r>
        <w:t xml:space="preserve">Among Pakistani-nationality respondents only (n = 37), the home and stress table remained 11/14 versus 3/23 and speed × appraisal was ρ = .67.</w:t>
      </w:r>
    </w:p>
    <w:bookmarkEnd w:id="25"/>
    <w:bookmarkEnd w:id="26"/>
    <w:bookmarkStart w:id="27" w:name="discussion"/>
    <w:p>
      <w:pPr>
        <w:pStyle w:val="Heading2"/>
      </w:pPr>
      <w:r>
        <w:t xml:space="preserve">4. Discussion</w:t>
      </w:r>
    </w:p>
    <w:p>
      <w:pPr>
        <w:pStyle w:val="FirstParagraph"/>
      </w:pPr>
      <w:r>
        <w:t xml:space="preserve">The 38 rows show home trouble, unused platforms, and stress sitting together in this sample. Tao and Gao (2022) had already named networks, platforms, and strain. Yu and Xu (2022) found overall positive online learning status in a larger South Asian sample. Their questionnaire and this form are not the same sample and are not read here as a single test. The present data add counts of power, quiet, speed, and named tools from February 2022.</w:t>
      </w:r>
    </w:p>
    <w:p>
      <w:pPr>
        <w:pStyle w:val="BodyText"/>
      </w:pPr>
      <w:r>
        <w:t xml:space="preserve">A better textbook would not, by itself, have answered a live session on an unstable connection, or a required application that respondents marked unusable. QQ and Chaoxing were often marked unusable; Zoom and WhatsApp were more often marked available. A teacher who requires one campus application can at least ask whether that application opens. The data do not recommend WhatsApp as a class tool: the form never asked whether it was used for class.</w:t>
      </w:r>
    </w:p>
    <w:p>
      <w:pPr>
        <w:pStyle w:val="BodyText"/>
      </w:pPr>
      <w:r>
        <w:t xml:space="preserve">A live oral hour that needs a quiet room and a steady line will treat many of the ticks in Table 2 as absence or weak performance. Preferred live length here was 45 or 30 minutes. Those are reports from this sample, not a national rule.</w:t>
      </w:r>
    </w:p>
    <w:p>
      <w:pPr>
        <w:pStyle w:val="BodyText"/>
      </w:pPr>
      <w:r>
        <w:t xml:space="preserve">The sample is 38 self-selected rows from four days in February 2022. Recruitment is unknown. Enrollment was not verified. The instrument was not piloted. Several platform columns were never asked. There is no ethics-committee number for the original collection. The results are not a picture of current hybrid teaching.</w:t>
      </w:r>
    </w:p>
    <w:p>
      <w:pPr>
        <w:pStyle w:val="BodyText"/>
      </w:pPr>
      <w:r>
        <w:t xml:space="preserve">In these 38 rows, home conditions and named-platform access were part of how respondents marked online Chinese study in February 2022.</w:t>
      </w:r>
    </w:p>
    <w:bookmarkEnd w:id="27"/>
    <w:bookmarkStart w:id="28" w:name="references"/>
    <w:p>
      <w:pPr>
        <w:pStyle w:val="Heading2"/>
      </w:pPr>
      <w:r>
        <w:t xml:space="preserve">References</w:t>
      </w:r>
    </w:p>
    <w:p>
      <w:pPr>
        <w:pStyle w:val="FirstParagraph"/>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Yu, L., &amp; Xu, L. (2022). Research on the online learning experience of South Asian students during COVID-19: The mediating effect of online learning status on autonomous learning and learning effect evaluation.</w:t>
      </w:r>
      <w:r>
        <w:t xml:space="preserve"> </w:t>
      </w:r>
      <w:r>
        <w:rPr>
          <w:iCs/>
          <w:i/>
        </w:rPr>
        <w:t xml:space="preserve">Journal of International Students, 12</w:t>
      </w:r>
      <w:r>
        <w:t xml:space="preserve">(S1), 45-60. https://doi.org/10.32674/jis.v12iS1.4607</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2026-08-24T08:45:38Z</dcterms:created>
  <dcterms:modified xsi:type="dcterms:W3CDTF">2026-08-24T08:45:38Z</dcterms:modified>
</cp:coreProperties>
</file>

<file path=docProps/custom.xml><?xml version="1.0" encoding="utf-8"?>
<Properties xmlns="http://schemas.openxmlformats.org/officeDocument/2006/custom-properties" xmlns:vt="http://schemas.openxmlformats.org/officeDocument/2006/docPropsVTypes"/>
</file>