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93c39fec4510a5d3ad14aecff5d2131a9fc6cdc"/>
    <w:p>
      <w:pPr>
        <w:pStyle w:val="Heading1"/>
      </w:pPr>
      <w:r>
        <w:t xml:space="preserve">Home conditions and platform access for online Chinese learners</w:t>
      </w:r>
    </w:p>
    <w:p>
      <w:pPr>
        <w:pStyle w:val="FirstParagraph"/>
      </w:pPr>
      <w:r>
        <w:rPr>
          <w:bCs/>
          <w:b/>
        </w:rPr>
        <w:t xml:space="preserve">Short title:</w:t>
      </w:r>
      <w:r>
        <w:t xml:space="preserve"> </w:t>
      </w:r>
      <w:r>
        <w:t xml:space="preserve">Home and platform access</w:t>
      </w:r>
    </w:p>
    <w:bookmarkStart w:id="20" w:name="abstract"/>
    <w:p>
      <w:pPr>
        <w:pStyle w:val="Heading2"/>
      </w:pPr>
      <w:r>
        <w:t xml:space="preserve">Abstract</w:t>
      </w:r>
    </w:p>
    <w:p>
      <w:pPr>
        <w:pStyle w:val="FirstParagraph"/>
      </w:pPr>
      <w:r>
        <w:t xml:space="preserve">An online Chinese course can keep its hours, platforms, oral tasks, and tests, and still be a course learners cannot take. If home power, network speed, or a required application does not support those arrangements, the content may still be sound while the class is closed. Thirty-eight people who said they were taking online Chinese courses completed a questionnaire written in Chinese. Thirty-seven selected Pakistani nationality. Unstable networks and power interruptions were common. Respondents who said home conditions affected study very much also more often selected very high stress. Worse reported internet speed went with a more negative view of online learning. QQ and Chaoxing were often marked unusable. Zoom and WhatsApp were more often marked available. The sample is small. The questionnaires were collected in February 2022, during emergency remote teaching, so the results do not describe current hybrid practice.</w:t>
      </w:r>
    </w:p>
    <w:p>
      <w:pPr>
        <w:pStyle w:val="BodyText"/>
      </w:pPr>
      <w:r>
        <w:rPr>
          <w:bCs/>
          <w:b/>
        </w:rPr>
        <w:t xml:space="preserve">Keywords:</w:t>
      </w:r>
      <w:r>
        <w:t xml:space="preserve"> </w:t>
      </w:r>
      <w:r>
        <w:t xml:space="preserve">Chinese; online language teaching; household infrastructure; platform access; emergency remote teaching</w:t>
      </w:r>
    </w:p>
    <w:bookmarkEnd w:id="20"/>
    <w:bookmarkStart w:id="21" w:name="the-challenge"/>
    <w:p>
      <w:pPr>
        <w:pStyle w:val="Heading2"/>
      </w:pPr>
      <w:r>
        <w:t xml:space="preserve">The Challenge</w:t>
      </w:r>
    </w:p>
    <w:p>
      <w:pPr>
        <w:pStyle w:val="FirstParagraph"/>
      </w:pPr>
      <w:r>
        <w:t xml:space="preserve">If the hour, the application, the oral task, and the test all assume a quiet home and a stable connection, what should a program do when those conditions are not there?</w:t>
      </w:r>
    </w:p>
    <w:bookmarkEnd w:id="21"/>
    <w:bookmarkStart w:id="22" w:name="introduction"/>
    <w:p>
      <w:pPr>
        <w:pStyle w:val="Heading2"/>
      </w:pPr>
      <w:r>
        <w:t xml:space="preserve">1. Introduction</w:t>
      </w:r>
    </w:p>
    <w:p>
      <w:pPr>
        <w:pStyle w:val="FirstParagraph"/>
      </w:pPr>
      <w:r>
        <w:t xml:space="preserve">When Chinese teaching moved online, many programs kept the sending class’s timetable and classroom tasks. Task guides still assume that students can join a live session (Gacs et al., 2020; González-Lloret, 2020; Hodges et al., 2020; Payne, 2020; Stockwell &amp; Wang, 2023). That assumption often fails. Studies of online language teaching, including online Chinese, have already noted unstable networks, platforms that are hard to open, thinner talk, and strain (Li &amp; Li, 2024; Moser et al., 2021; Qi, 2025; Russell, 2020; Tao &amp; Gao, 2022). A device in the house is not enough if there is no power, little speed, or no usable application (Ali, 2020; Beaunoyer et al., 2020; Guo &amp; Wan, 2022; Vishnu et al., 2024; Warschauer, 2003). Distance language learning had already asked whether a remote class was even feasible (White, 2006). When those conditions do not hold, the content may still be sound, but the class is closed.</w:t>
      </w:r>
    </w:p>
    <w:p>
      <w:pPr>
        <w:pStyle w:val="BodyText"/>
      </w:pPr>
      <w:r>
        <w:t xml:space="preserve">Those difficulties are often named. They are less often measured from the learner’s side. Emergency papers used them as a backdrop for teacher workload, sending-side adaptation, or a video copy of the campus hour (MacIntyre et al., 2020; Moser et al., 2021; Xu et al., 2022). Later papers asked what should remain of that emergency practice (Moorhouse, 2023; Stockwell &amp; Wang, 2023). Reviews still list technical trouble and still say little about household access (Li &amp; Li, 2024; Xu, 2024; Zhang &amp; Osborne, 2026). Planned online courses and studies of learner emotion show what designed online Chinese teaching can look like (Guenier et al., 2026; Qi, 2025; Wen &amp; Liu, 2025). They do not show whether a travelling course could still be taken where learners sat. That term is used here, following Gacs et al. (2020), for a course designed in one institutional setting and taught in another. Work on international Chinese teaching has said more about what a course says than about whether learners can enter it (Gong et al., 2020b; Lu et al., 2024; Zhao, 2020).</w:t>
      </w:r>
    </w:p>
    <w:p>
      <w:pPr>
        <w:pStyle w:val="BodyText"/>
      </w:pPr>
      <w:r>
        <w:t xml:space="preserve">Access, tasks, interaction, anxiety, and emergency adaptation are already familiar topics in this journal (Gacs et al., 2020; González-Lloret, 2020; Jin et al., 2023; Lomicka, 2020; Payne, 2020; Russell, 2020; Xu et al., 2022; Zhang &amp; Liu, 2023). This study asked a related question from the learner side. Thirty-eight people who reported taking online Chinese courses completed a questionnaire written in Chinese. They were asked about home conditions, connectivity, and platform access, and about stress and their view of online learning. The form cannot show how institutions adapted. It can show the conditions those arrangements had to meet. Time-zone difference and the lack of a Chinese-speaking environment were not measured. Respondents are not treated here as people who had gone home or who could not re-enter campus. Those were common situations in that period. The questionnaire does not record them.</w:t>
      </w:r>
    </w:p>
    <w:p>
      <w:pPr>
        <w:pStyle w:val="BodyText"/>
      </w:pPr>
      <w:r>
        <w:t xml:space="preserve">Thirty-seven of the 38 selected Pakistani nationality. That item is the only Pakistan link in the data. Residence, recruitment, university, program, and physical location were not checked. Writing on Pakistani educational mobility and university e-learning is used only as background for that reported nationality (Butt &amp; Sadaf, 2026; Jamil &amp; Muschert, 2023; Raza &amp; Hennessy, 2025; Tu, 2026). The group is not a verified campus population (Gao &amp; Hua, 2021; Gong et al., 2020a). The paper does not ask whether later hybrid practice has closed the gap. It asks what these 38 people reported:</w:t>
      </w:r>
    </w:p>
    <w:p>
      <w:pPr>
        <w:pStyle w:val="BodyText"/>
      </w:pPr>
      <w:r>
        <w:rPr>
          <w:bCs/>
          <w:b/>
        </w:rPr>
        <w:t xml:space="preserve">RQ1.</w:t>
      </w:r>
      <w:r>
        <w:t xml:space="preserve"> </w:t>
      </w:r>
      <w:r>
        <w:t xml:space="preserve">What household, connectivity, and platform-access conditions did they report?</w:t>
      </w:r>
    </w:p>
    <w:p>
      <w:pPr>
        <w:pStyle w:val="BodyText"/>
      </w:pPr>
      <w:r>
        <w:rPr>
          <w:bCs/>
          <w:b/>
        </w:rPr>
        <w:t xml:space="preserve">RQ2.</w:t>
      </w:r>
      <w:r>
        <w:t xml:space="preserve"> </w:t>
      </w:r>
      <w:r>
        <w:t xml:space="preserve">How did those conditions sit alongside</w:t>
      </w:r>
      <w:r>
        <w:t xml:space="preserve"> </w:t>
      </w:r>
      <w:r>
        <w:t xml:space="preserve">“</w:t>
      </w:r>
      <w:r>
        <w:t xml:space="preserve">very high stress</w:t>
      </w:r>
      <w:r>
        <w:t xml:space="preserve">”</w:t>
      </w:r>
      <w:r>
        <w:t xml:space="preserve"> </w:t>
      </w:r>
      <w:r>
        <w:t xml:space="preserve">and their appraisals of online learning?</w:t>
      </w:r>
    </w:p>
    <w:p>
      <w:pPr>
        <w:pStyle w:val="BodyText"/>
      </w:pPr>
      <w:r>
        <w:rPr>
          <w:bCs/>
          <w:b/>
        </w:rPr>
        <w:t xml:space="preserve">RQ3.</w:t>
      </w:r>
      <w:r>
        <w:t xml:space="preserve"> </w:t>
      </w:r>
      <w:r>
        <w:t xml:space="preserve">Did they judge that online Chinese courses could replace campus classes?</w:t>
      </w:r>
    </w:p>
    <w:p>
      <w:pPr>
        <w:pStyle w:val="BodyText"/>
      </w:pPr>
      <w:r>
        <w:t xml:space="preserve">The counts are descriptive. The associations are exploratory.</w:t>
      </w:r>
    </w:p>
    <w:bookmarkEnd w:id="22"/>
    <w:bookmarkStart w:id="28" w:name="Xa71efe292272ba0d775f88aaa92c3e49c1e1383"/>
    <w:p>
      <w:pPr>
        <w:pStyle w:val="Heading2"/>
      </w:pPr>
      <w:r>
        <w:t xml:space="preserve">2. Literature review and conceptual framework</w:t>
      </w:r>
    </w:p>
    <w:bookmarkStart w:id="23" w:name="later-lenses-on-online-chinese-teaching"/>
    <w:p>
      <w:pPr>
        <w:pStyle w:val="Heading3"/>
      </w:pPr>
      <w:r>
        <w:t xml:space="preserve">2.1 Later lenses on online Chinese teaching</w:t>
      </w:r>
    </w:p>
    <w:p>
      <w:pPr>
        <w:pStyle w:val="FirstParagraph"/>
      </w:pPr>
      <w:r>
        <w:t xml:space="preserve">Hodges et al. (2020) distinguished emergency remote teaching from planned online provision. Gacs, Goertler, and Spasova (2020) brought that distinction into language education. Language-teacher surveys from the same period describe heavier workloads and uneven preparedness (Moser et al., 2021). Tao and Gao (2022) read the wider literature as a story of technical disruption and thinner engagement. In this journal, Russell (2020) treats language anxiety as a condition of the online learner, and Lomicka (2020) treats interaction as a problem of virtual community rather than of a copied campus hour. That work locates the moment in which the present questionnaire was completed. It is not a substitute for the stress reports in this sample.</w:t>
      </w:r>
    </w:p>
    <w:p>
      <w:pPr>
        <w:pStyle w:val="BodyText"/>
      </w:pPr>
      <w:r>
        <w:t xml:space="preserve">The later literature is the reading lens. After the return to campus, studies of technological normalization asked what should remain of emergency online practice (Moorhouse, 2023) and cautioned against treating a videoconference copy of the classroom as the lesson of the crisis (Stockwell &amp; Wang, 2023). For Chinese, contemporaneous policy writing recorded</w:t>
      </w:r>
      <w:r>
        <w:t xml:space="preserve"> </w:t>
      </w:r>
      <w:r>
        <w:t xml:space="preserve">“</w:t>
      </w:r>
      <w:r>
        <w:t xml:space="preserve">suspending classes without stopping learning</w:t>
      </w:r>
      <w:r>
        <w:t xml:space="preserve">”</w:t>
      </w:r>
      <w:r>
        <w:t xml:space="preserve"> </w:t>
      </w:r>
      <w:r>
        <w:t xml:space="preserve">(Zhang et al., 2020). Xu et al. (2022) show how character teaching was adapted on the sending side. Jin et al. (2023) report faculty perceptions of pandemic online teaching. Zhang and Liu (2023) examine online collaborative writing among Chinese-language learners in designed conditions. Later reviews still say more about tools than about household access, and they still flag digital equity as under-examined (Li &amp; Li, 2024; Xu, 2024; Zhang &amp; Osborne, 2026). Designed online Chinese-culture courses show a planned alternative to emergency copying (Guenier et al., 2026). Qi (2025) shows that an online Chinese class can itself become an anxiety-provoking setting. Those studies do not describe the present respondents. Much of that writing still assumes a relatively stable connection. The present questionnaire cannot test whether that assumption holds for current hybrid ICLE. It can show what 38 respondents reported when a travelling course asked them to join.</w:t>
      </w:r>
    </w:p>
    <w:bookmarkEnd w:id="23"/>
    <w:bookmarkStart w:id="24" w:name="X8fd0326383b50249221392c76a6b8ab8b037526"/>
    <w:p>
      <w:pPr>
        <w:pStyle w:val="Heading3"/>
      </w:pPr>
      <w:r>
        <w:t xml:space="preserve">2.2 Digital inequality and the home learning ecology</w:t>
      </w:r>
    </w:p>
    <w:p>
      <w:pPr>
        <w:pStyle w:val="FirstParagraph"/>
      </w:pPr>
      <w:r>
        <w:t xml:space="preserve">Later models of the digital divide distinguish material access from skills, usage, and outcomes (Helsper, 2021; van Dijk, 2020; Warschauer, 2003). Owning a device is not the same as being able to take part (Ali, 2020; Beaunoyer et al., 2020; Guo &amp; Wan, 2022; Vishnu et al., 2024). Work on Pakistani university e-learning reports uneven access, skills, electricity, and household device sharing (Butt &amp; Sadaf, 2026; Jamil &amp; Muschert, 2023; Raza &amp; Hennessy, 2025). The last of those sources is a grey-literature report. None of them is evidence about the 38 respondents here; they are background only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Domestic space, paid or care work, power interruptions, and applications marked unusable are therefore read as elements of respondents’ immediate learning ecologies. They are material facts, not cultural traits.</w:t>
      </w:r>
    </w:p>
    <w:bookmarkEnd w:id="24"/>
    <w:bookmarkStart w:id="26" w:name="localization-of-delivery"/>
    <w:p>
      <w:pPr>
        <w:pStyle w:val="Heading3"/>
      </w:pPr>
      <w:r>
        <w:t xml:space="preserve">2.3 Localization of delivery</w:t>
      </w:r>
    </w:p>
    <w:p>
      <w:pPr>
        <w:pStyle w:val="FirstParagraph"/>
      </w:pPr>
      <w:r>
        <w:t xml:space="preserve">In materials work, localization has usually meant personalizing content so that it speaks to a particular group (McDonough &amp; Shaw, 2003; Tomlinson, 2011). Canagarajah (2005) and Kumaravadivelu (2001) locate pedagogy in a specific group and place. ICLE research has applied localization mainly to curriculum construction and textbook adaptation (Lu et al., 2024; Zhao, 2020; Zhao &amp; Huang, 2010). Guerrettaz et al. (2021) push materials off the page and into use. If that move is taken seriously, localization also has to ask whether learners can reach and take part in the class as it is delivered.</w:t>
      </w:r>
    </w:p>
    <w:bookmarkStart w:id="25" w:name="four-layers-of-localization"/>
    <w:p>
      <w:pPr>
        <w:pStyle w:val="Heading4"/>
      </w:pPr>
      <w:r>
        <w:t xml:space="preserve">2.3.1 Four layers of localization</w:t>
      </w:r>
    </w:p>
    <w:p>
      <w:pPr>
        <w:pStyle w:val="FirstParagraph"/>
      </w:pPr>
      <w:r>
        <w:t xml:space="preserve">The following four layers are the proposed framework for reading the present data. They are a conceptual distinction, not a tested path:</w:t>
      </w:r>
    </w:p>
    <w:p>
      <w:pPr>
        <w:numPr>
          <w:ilvl w:val="0"/>
          <w:numId w:val="1001"/>
        </w:numPr>
        <w:pStyle w:val="Compact"/>
      </w:pPr>
      <w:r>
        <w:t xml:space="preserve">Localization of</w:t>
      </w:r>
      <w:r>
        <w:t xml:space="preserve"> </w:t>
      </w:r>
      <w:r>
        <w:rPr>
          <w:iCs/>
          <w:i/>
        </w:rPr>
        <w:t xml:space="preserve">content</w:t>
      </w:r>
      <w:r>
        <w:t xml:space="preserve">: examples, festivals, and cultural comparison.</w:t>
      </w:r>
    </w:p>
    <w:p>
      <w:pPr>
        <w:numPr>
          <w:ilvl w:val="0"/>
          <w:numId w:val="1001"/>
        </w:numPr>
        <w:pStyle w:val="Compact"/>
      </w:pPr>
      <w:r>
        <w:t xml:space="preserve">Localization of</w:t>
      </w:r>
      <w:r>
        <w:t xml:space="preserve"> </w:t>
      </w:r>
      <w:r>
        <w:rPr>
          <w:iCs/>
          <w:i/>
        </w:rPr>
        <w:t xml:space="preserve">materials</w:t>
      </w:r>
      <w:r>
        <w:t xml:space="preserve">: annotation, mediation language, and page redesign.</w:t>
      </w:r>
    </w:p>
    <w:p>
      <w:pPr>
        <w:numPr>
          <w:ilvl w:val="0"/>
          <w:numId w:val="1001"/>
        </w:numPr>
        <w:pStyle w:val="Compact"/>
      </w:pPr>
      <w:r>
        <w:t xml:space="preserve">Localization of</w:t>
      </w:r>
      <w:r>
        <w:t xml:space="preserve"> </w:t>
      </w:r>
      <w:r>
        <w:rPr>
          <w:iCs/>
          <w:i/>
        </w:rPr>
        <w:t xml:space="preserve">curriculum</w:t>
      </w:r>
      <w:r>
        <w:t xml:space="preserve">: pathway, hours, and assessment of a named program (Shan &amp; Xu, 2024; Zhao, 2020).</w:t>
      </w:r>
    </w:p>
    <w:p>
      <w:pPr>
        <w:numPr>
          <w:ilvl w:val="0"/>
          <w:numId w:val="1001"/>
        </w:numPr>
        <w:pStyle w:val="Compact"/>
      </w:pPr>
      <w:r>
        <w:t xml:space="preserve">Localization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analysis is concerned with the fourth. Localization of delivery does not replace accessibility or digital inclusion. It names the institutional decisions through which access is made possible or closed off when a course moves. The questionnaire did not observe those institutional decisions. It recorded the learner-side conditions against which such decisions would have to be judged. The claim is therefore conceptual rather than institutional: a course may be locally relevant in content but inaccessible in delivery. It is localized in delivery only when its required time, platform, participation mode, task design, and assessment are feasible where learners actually take part.</w:t>
      </w:r>
    </w:p>
    <w:p>
      <w:pPr>
        <w:pStyle w:val="BodyText"/>
      </w:pPr>
      <w:r>
        <w:t xml:space="preserve">Gong et al. (2020b) map ICLE in mainland China for 2014–2018 and are used here as a pre-pandemic field sketch. Gao and Hua (2021) and Gong et al. (2020a) write about international students of Chinese</w:t>
      </w:r>
      <w:r>
        <w:t xml:space="preserve"> </w:t>
      </w:r>
      <w:r>
        <w:rPr>
          <w:iCs/>
          <w:i/>
        </w:rPr>
        <w:t xml:space="preserve">in</w:t>
      </w:r>
      <w:r>
        <w:t xml:space="preserve"> </w:t>
      </w:r>
      <w:r>
        <w:t xml:space="preserve">Chinese universities. Guenier, Xing, and Yan (2026) describe a designed online Chinese-culture course. The present respondents completed a questionnaire written in Chinese about online Chinese classes. They are not treated as a Confucius Institute classroom sample, and enrollment in a named Chinese university was not independently verified.</w:t>
      </w:r>
    </w:p>
    <w:bookmarkEnd w:id="25"/>
    <w:bookmarkEnd w:id="26"/>
    <w:bookmarkStart w:id="27" w:name="conceptual-model"/>
    <w:p>
      <w:pPr>
        <w:pStyle w:val="Heading3"/>
      </w:pPr>
      <w:r>
        <w:t xml:space="preserve">2.4 Conceptual model</w:t>
      </w:r>
    </w:p>
    <w:p>
      <w:pPr>
        <w:pStyle w:val="FirstParagraph"/>
      </w:pPr>
      <w:r>
        <w:t xml:space="preserve">Figure 1 is offered as a reading model, not as a tested path. Household infrastructure and reported platform access are concurrent conditions of a travelling course and are interpreted as possible constraints on participation. Language investment is not part of the model.</w:t>
      </w:r>
    </w:p>
    <w:p>
      <w:pPr>
        <w:pStyle w:val="BodyText"/>
      </w:pPr>
      <w:r>
        <w:t xml:space="preserve">Figure 1. Localization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judgments. The figure is not a causal path.</w:t>
      </w:r>
    </w:p>
    <w:bookmarkEnd w:id="27"/>
    <w:bookmarkEnd w:id="28"/>
    <w:bookmarkStart w:id="34" w:name="methods"/>
    <w:p>
      <w:pPr>
        <w:pStyle w:val="Heading2"/>
      </w:pPr>
      <w:r>
        <w:t xml:space="preserve">3. Methods</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9" w:name="design-and-context"/>
    <w:p>
      <w:pPr>
        <w:pStyle w:val="Heading3"/>
      </w:pPr>
      <w:r>
        <w:t xml:space="preserve">3.1 Design and context</w:t>
      </w:r>
    </w:p>
    <w:p>
      <w:pPr>
        <w:pStyle w:val="FirstParagraph"/>
      </w:pPr>
      <w:r>
        <w:t xml:space="preserve">The instrument title on the Wenjuan export is Influencing factors in international students’ online Chinese learning during COVID-19. The items are those on that retained form. No separate validation study or recorded pilot of the instrument is available. This article is a secondary analysis of the completed responses. Complete cases were submitted between 5 and 8 February 2022 (N = 38), during emergency remote teaching. That collection window is a methodological fact; the article does not treat the sample as a picture of current hybrid practice. The form did not record how the link was circulated, so the recruitment channel cannot be named. Respondents were adults who completed a questionnaire written in Chinese about online Chinese learning. Completing that questionnaire is not treated as proof of enrollment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 The study therefore concerns a self-selected group of respondents reporting participation in online Chinese-language courses, not a verified enrollment record.</w:t>
      </w:r>
    </w:p>
    <w:bookmarkEnd w:id="29"/>
    <w:bookmarkStart w:id="30"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30"/>
    <w:bookmarkStart w:id="31"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The items were written in Chinese. Some wording was non-native. Reporting uses English glosses. Self-rated Chinese level was intermediate or advanced for 37 of 38 respondents. The instrument did not include a comprehension check, so completion of a questionnaire written in Chinese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on the form (glossed as very high), not an analyst-created threshold or a cut on a multi-item scale. The focal stress analysis uses a dummy for this category and does not reverse the ordinal. Full coding directions are in Table A1.</w:t>
      </w:r>
    </w:p>
    <w:p>
      <w:pPr>
        <w:pStyle w:val="BodyText"/>
      </w:pPr>
      <w:r>
        <w:t xml:space="preserve">The export labeled one multiple-response problem as</w:t>
      </w:r>
      <w:r>
        <w:t xml:space="preserve"> </w:t>
      </w:r>
      <w:r>
        <w:t xml:space="preserve">“</w:t>
      </w:r>
      <w:r>
        <w:t xml:space="preserve">no electricity.</w:t>
      </w:r>
      <w:r>
        <w:t xml:space="preserve">”</w:t>
      </w:r>
      <w:r>
        <w:t xml:space="preserve"> </w:t>
      </w:r>
      <w:r>
        <w:t xml:space="preserve">References to load-shedding elsewhere in the article are contextual. In the results the item is reported as</w:t>
      </w:r>
      <w:r>
        <w:t xml:space="preserve"> </w:t>
      </w:r>
      <w:r>
        <w:rPr>
          <w:iCs/>
          <w:i/>
        </w:rPr>
        <w:t xml:space="preserve">power interruptions</w:t>
      </w:r>
      <w:r>
        <w:t xml:space="preserve"> </w:t>
      </w:r>
      <w:r>
        <w:t xml:space="preserve">(export label: no electricity). Chinese MOOC is reported as printed on the form; the option did not name a single provider.</w:t>
      </w:r>
    </w:p>
    <w:bookmarkEnd w:id="31"/>
    <w:bookmarkStart w:id="32" w:name="analysis"/>
    <w:p>
      <w:pPr>
        <w:pStyle w:val="Heading3"/>
      </w:pPr>
      <w:r>
        <w:t xml:space="preserve">3.4 Analysis</w:t>
      </w:r>
    </w:p>
    <w:p>
      <w:pPr>
        <w:pStyle w:val="FirstParagraph"/>
      </w:pPr>
      <w:r>
        <w:t xml:space="preserve">Household and platform reports are given as frequencies (Tables 1 to 3). Two associations are treated as focal: home affects study very much with very high stress (two-sided Fisher’s exact test), and internet speed with the appraisal index (Spearman’s ρ, with a percentile bootstrap 95% confidence interval from 5,000 resamples). Replacement judgments are reported as frequencies. Odds ratios and Wald confidence intervals are not reported: at N = 38 they are unstable. Other associations, including gender, are secondary and are placed in Appendix B. Frequencies are n/38 unless noted. Multiple-response items are the percentage who selected the option.</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2"/>
    <w:bookmarkStart w:id="33"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w:t>
      </w:r>
    </w:p>
    <w:p>
      <w:pPr>
        <w:pStyle w:val="BodyText"/>
      </w:pPr>
      <w:r>
        <w:t xml:space="preserve">No institutional ethics approval number is available for the original 2022 data collection. The first author was then a master’s student, and numbered approval was not obtained. This article reports an anonymized secondary analysis of those completed responses. No new data were collected. Names, IP addresses, exact timestamps, and device identifiers were removed before the public dataset was prepared.</w:t>
      </w:r>
    </w:p>
    <w:bookmarkEnd w:id="33"/>
    <w:bookmarkEnd w:id="34"/>
    <w:bookmarkStart w:id="39" w:name="results"/>
    <w:p>
      <w:pPr>
        <w:pStyle w:val="Heading2"/>
      </w:pPr>
      <w:r>
        <w:t xml:space="preserve">4. Results</w:t>
      </w:r>
    </w:p>
    <w:bookmarkStart w:id="35" w:name="respondents-and-household-conditions"/>
    <w:p>
      <w:pPr>
        <w:pStyle w:val="Heading3"/>
      </w:pPr>
      <w:r>
        <w:t xml:space="preserve">4.1 Respondents and household conditions</w:t>
      </w:r>
    </w:p>
    <w:p>
      <w:pPr>
        <w:pStyle w:val="FirstParagraph"/>
      </w:pPr>
      <w:r>
        <w:t xml:space="preserve">Table 1 locates the sample. Most respondents said all of their Chinese classes were online, and more than half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reports the household and connectivity conditions. The key figures are unstable networks (76.3%), power interruptions (42.1%), and very high stress (36.8%). Four respondents said their country did not have internet, yet all 38 submitted an online form. The item wording does not allow a firm reinterpretation, so the response is reported as given. Only 11 of 38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bookmarkEnd w:id="35"/>
    <w:bookmarkStart w:id="36" w:name="platform-access"/>
    <w:p>
      <w:pPr>
        <w:pStyle w:val="Heading3"/>
      </w:pPr>
      <w:r>
        <w:t xml:space="preserve">4.2 Platform access</w:t>
      </w:r>
    </w:p>
    <w:p>
      <w:pPr>
        <w:pStyle w:val="FirstParagraph"/>
      </w:pPr>
      <w:r>
        <w:t xml:space="preserve">Table 3 shows uneven access to institutionally familiar and consumer-facing platforms. The questionnaire cannot isolate country restrictions, routing, account rules, skills, or virtual private networks. The pattern used for later discussion is that QQ and Chaoxing were frequently marked unusable, while Zoom and WhatsApp were more often marked available.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Chinese MOOC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6"/>
    <w:bookmarkStart w:id="37" w:name="stress-and-appraisals"/>
    <w:p>
      <w:pPr>
        <w:pStyle w:val="Heading3"/>
      </w:pPr>
      <w:r>
        <w:t xml:space="preserve">4.3 Stress and appraisals</w:t>
      </w:r>
    </w:p>
    <w:p>
      <w:pPr>
        <w:pStyle w:val="FirstParagraph"/>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w:t>
      </w:r>
    </w:p>
    <w:p>
      <w:pPr>
        <w:pStyle w:val="BodyText"/>
      </w:pPr>
      <w:r>
        <w:t xml:space="preserve">Worse internet speed was associated with a worse appraisal index (ρ = .65,</w:t>
      </w:r>
      <w:r>
        <w:t xml:space="preserve"> </w:t>
      </w:r>
      <w:r>
        <w:rPr>
          <w:iCs/>
          <w:i/>
        </w:rPr>
        <w:t xml:space="preserve">p</w:t>
      </w:r>
      <w:r>
        <w:t xml:space="preserve"> </w:t>
      </w:r>
      <w:r>
        <w:t xml:space="preserve">&lt; .001, percentile bootstrap 95% CI [.36, .84]; Table 4). An unvalidated post hoc count of selected infrastructure-problem options (unstable network, power interruptions, no signal) was not associated with the index (ρ = .02). That count is not interpreted as evidence against the role of infrastructure.</w:t>
      </w:r>
    </w:p>
    <w:p>
      <w:pPr>
        <w:pStyle w:val="BodyText"/>
      </w:pPr>
      <w:r>
        <w:t xml:space="preserve">Active interaction with the teacher</w:t>
      </w:r>
      <w:r>
        <w:t xml:space="preserve"> </w:t>
      </w:r>
      <w:r>
        <w:t xml:space="preserve">“</w:t>
      </w:r>
      <w:r>
        <w:t xml:space="preserve">very much</w:t>
      </w:r>
      <w:r>
        <w:t xml:space="preserve">”</w:t>
      </w:r>
      <w:r>
        <w:t xml:space="preserve"> </w:t>
      </w:r>
      <w:r>
        <w:t xml:space="preserve">was uncommon (6 of 38). Preferred live length was 45 minutes for half of the respondents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 and 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7"/>
    <w:bookmarkStart w:id="38" w:name="replacement-judgments"/>
    <w:p>
      <w:pPr>
        <w:pStyle w:val="Heading3"/>
      </w:pPr>
      <w:r>
        <w:t xml:space="preserve">4.4 Replacement judgments</w:t>
      </w:r>
    </w:p>
    <w:p>
      <w:pPr>
        <w:pStyle w:val="FirstParagraph"/>
      </w:pPr>
      <w:r>
        <w:t xml:space="preserve">Nineteen of 38 said online study could replace campus classes, and 19 said it could not. Among women, 9 of 11 said it could not; among men, 10 of 27 said so. With only 11 women, this is a cautious observation of perceived legitimacy in this sample. It is not a gender finding about Pakistani households and is not treated as a focal test (Appendix B).</w:t>
      </w:r>
    </w:p>
    <w:bookmarkEnd w:id="38"/>
    <w:bookmarkEnd w:id="39"/>
    <w:bookmarkStart w:id="40" w:name="discussion"/>
    <w:p>
      <w:pPr>
        <w:pStyle w:val="Heading2"/>
      </w:pPr>
      <w:r>
        <w:t xml:space="preserve">5. Discussion</w:t>
      </w:r>
    </w:p>
    <w:p>
      <w:pPr>
        <w:pStyle w:val="FirstParagraph"/>
      </w:pPr>
      <w:r>
        <w:t xml:space="preserve">The contribution of this article is threefold. Empirically, it documents learner-side household and platform-access conditions for a travelling online Chinese course in a small emergency-period sample. Conceptually, it treats localization of delivery, or delivery-context fit, as a distinct layer of localization work. In relation to existing online ICLE research, it complements sending-side accounts of emergency adaptation (Xu et al., 2022) and designed online Chinese work (Zhang &amp; Liu, 2023) with the conditions against which those arrangements have to be judged.</w:t>
      </w:r>
    </w:p>
    <w:p>
      <w:pPr>
        <w:pStyle w:val="BodyText"/>
      </w:pPr>
      <w:r>
        <w:t xml:space="preserve">The study set out to establish whether the difficulties the field has named, networks, platforms, interaction, and affect, were present as learner-side conditions in this sample. The answer is yes. Those who said the home affected study</w:t>
      </w:r>
      <w:r>
        <w:t xml:space="preserve"> </w:t>
      </w:r>
      <w:r>
        <w:t xml:space="preserve">“</w:t>
      </w:r>
      <w:r>
        <w:t xml:space="preserve">very much</w:t>
      </w:r>
      <w:r>
        <w:t xml:space="preserve">”</w:t>
      </w:r>
      <w:r>
        <w:t xml:space="preserve"> </w:t>
      </w:r>
      <w:r>
        <w:t xml:space="preserve">more often selected</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The questionnaire does not show how institutions adapted. Localization of content and materials would still have been necessary (Lu et al., 2024; Zhao, 2020). It would not, by itself, have answered a synchronous session on an unstable connection, or a required application that respondents marked unusable in their country.</w:t>
      </w:r>
    </w:p>
    <w:p>
      <w:pPr>
        <w:pStyle w:val="BodyText"/>
      </w:pPr>
      <w:r>
        <w:t xml:space="preserve">Those conditions belong to the culture of the class in a narrow, ecological sense: the immediate setting in which language work was asked to happen (van Lier, 2004). They are not a claim about Pakistani culture, nor about a national educational system. Most respondents selected Pakistani nationality, and that is the only Pakistan connection the dataset can support.</w:t>
      </w:r>
    </w:p>
    <w:p>
      <w:pPr>
        <w:pStyle w:val="BodyText"/>
      </w:pPr>
      <w:r>
        <w:t xml:space="preserve">The platform pattern is best read as a possible geography of delivery. Applications often used in Chinese-university teaching (QQ, Chaoxing, DingTalk, Chinese MOOC) were frequently marked unusable, while Zoom and WhatsApp were more often marked available. The questionnaire cannot say whether that pattern reflects country restrictions, routing, account rules, skills, or virtual private networks. It can say that a travelling course which assumes a single institutional toolkit may ask learners to enter a class they cannot reliably open.</w:t>
      </w:r>
    </w:p>
    <w:p>
      <w:pPr>
        <w:pStyle w:val="BodyText"/>
      </w:pPr>
      <w:r>
        <w:t xml:space="preserve">Participation in this dataset co-occurred with reported platform access, power and connectivity problems, and a home that many described as not quiet. That is a description of domestic participation conditions, not a claim that inequality is</w:t>
      </w:r>
      <w:r>
        <w:t xml:space="preserve"> </w:t>
      </w:r>
      <w:r>
        <w:t xml:space="preserve">“</w:t>
      </w:r>
      <w:r>
        <w:t xml:space="preserve">cultural.</w:t>
      </w:r>
      <w:r>
        <w:t xml:space="preserve">”</w:t>
      </w:r>
    </w:p>
    <w:bookmarkEnd w:id="40"/>
    <w:bookmarkStart w:id="45" w:name="pedagogical-implications"/>
    <w:p>
      <w:pPr>
        <w:pStyle w:val="Heading2"/>
      </w:pPr>
      <w:r>
        <w:t xml:space="preserve">6. Pedagogical implications</w:t>
      </w:r>
    </w:p>
    <w:p>
      <w:pPr>
        <w:pStyle w:val="FirstParagraph"/>
      </w:pPr>
      <w:r>
        <w:t xml:space="preserve">In this sample, the questionnaire can support only a small set of classroom decisions.</w:t>
      </w:r>
    </w:p>
    <w:bookmarkStart w:id="41" w:name="platform-selection"/>
    <w:p>
      <w:pPr>
        <w:pStyle w:val="Heading3"/>
      </w:pPr>
      <w:r>
        <w:t xml:space="preserve">Platform selection</w:t>
      </w:r>
    </w:p>
    <w:p>
      <w:pPr>
        <w:pStyle w:val="FirstParagraph"/>
      </w:pPr>
      <w:r>
        <w:t xml:space="preserve">Because QQ and Chaoxing were frequently marked unusable (Table 3), a program should not treat the sending-side toolkit as given. Before it requires a platform, it has to ask whether learners can open it where they sit, and it has to name a usable alternative. WhatsApp was marked available here, but it was not recorded as used for class, so the data do not recommend it as a replacement.</w:t>
      </w:r>
    </w:p>
    <w:bookmarkEnd w:id="41"/>
    <w:bookmarkStart w:id="42" w:name="assessment-modes"/>
    <w:p>
      <w:pPr>
        <w:pStyle w:val="Heading3"/>
      </w:pPr>
      <w:r>
        <w:t xml:space="preserve">Assessment modes</w:t>
      </w:r>
    </w:p>
    <w:p>
      <w:pPr>
        <w:pStyle w:val="FirstParagraph"/>
      </w:pPr>
      <w:r>
        <w:t xml:space="preserve">Because only 28.9% described the home as quiet, 42.1% reported power interruptions, and 76.3% reported unstable networks (Table 2), institutions should not treat a live oral hour as the only assessable performance. Assessment that assumes a quiet, continuous campus hour will mark some of those conditions as learner failure.</w:t>
      </w:r>
    </w:p>
    <w:bookmarkEnd w:id="42"/>
    <w:bookmarkStart w:id="43" w:name="live-session-duration"/>
    <w:p>
      <w:pPr>
        <w:pStyle w:val="Heading3"/>
      </w:pPr>
      <w:r>
        <w:t xml:space="preserve">Live session duration</w:t>
      </w:r>
    </w:p>
    <w:p>
      <w:pPr>
        <w:pStyle w:val="FirstParagraph"/>
      </w:pPr>
      <w:r>
        <w:t xml:space="preserve">Preferred live length here was 45 minutes for half of the respondents and 30 minutes for 28.9%. One open comment said that even one minute online was</w:t>
      </w:r>
      <w:r>
        <w:t xml:space="preserve"> </w:t>
      </w:r>
      <w:r>
        <w:t xml:space="preserve">“</w:t>
      </w:r>
      <w:r>
        <w:t xml:space="preserve">not suitable.</w:t>
      </w:r>
      <w:r>
        <w:t xml:space="preserve">”</w:t>
      </w:r>
      <w:r>
        <w:t xml:space="preserve"> </w:t>
      </w:r>
      <w:r>
        <w:t xml:space="preserve">A shorter live slot or an asynchronous oral alternative is the suggestion the data can support.</w:t>
      </w:r>
    </w:p>
    <w:bookmarkEnd w:id="43"/>
    <w:bookmarkStart w:id="44" w:name="collecting-access-data"/>
    <w:p>
      <w:pPr>
        <w:pStyle w:val="Heading3"/>
      </w:pPr>
      <w:r>
        <w:t xml:space="preserve">Collecting access data</w:t>
      </w:r>
    </w:p>
    <w:p>
      <w:pPr>
        <w:pStyle w:val="FirstParagraph"/>
      </w:pPr>
      <w:r>
        <w:t xml:space="preserve">The form shows household and access conditions. It does not show how institutions adapted. Those conditions should be collected as part of course design, not after complaints.</w:t>
      </w:r>
    </w:p>
    <w:p>
      <w:pPr>
        <w:pStyle w:val="BodyText"/>
      </w:pPr>
      <w:r>
        <w:t xml:space="preserve">These suggestions are bound to this sample. They are not a national policy, and they are not evidence that later hybrid ICLE has repeated this pattern. They do suggest that hybrid models</w:t>
      </w:r>
      <w:r>
        <w:t xml:space="preserve"> </w:t>
      </w:r>
      <w:r>
        <w:rPr>
          <w:iCs/>
          <w:i/>
        </w:rPr>
        <w:t xml:space="preserve">may</w:t>
      </w:r>
      <w:r>
        <w:t xml:space="preserve"> </w:t>
      </w:r>
      <w:r>
        <w:t xml:space="preserve">reproduce a similar mismatch if the delivery assumptions of a travelling course are left unexamined (Stockwell &amp; Wang, 2023).</w:t>
      </w:r>
    </w:p>
    <w:bookmarkEnd w:id="44"/>
    <w:bookmarkEnd w:id="45"/>
    <w:bookmarkStart w:id="46" w:name="limitations"/>
    <w:p>
      <w:pPr>
        <w:pStyle w:val="Heading2"/>
      </w:pPr>
      <w:r>
        <w:t xml:space="preserve">7. Limitations</w:t>
      </w:r>
    </w:p>
    <w:p>
      <w:pPr>
        <w:pStyle w:val="FirstParagraph"/>
      </w:pPr>
      <w:r>
        <w:t xml:space="preserve">The sample is small (N = 38), network-recruited, and majority male; recruitment channel, host university, program type, and place of residence were not recorded, so all outcomes are self-report from a convenience group whose enrollment was not independently verified. The data are from February 2022 and concern emergency remote teaching; they are not evidence about current hybrid education. The appraisal index is descriptive rather than a validated scale, the infrastructure-problem count is an unvalidated post hoc indicator, the form did not measure institutional adaptation, IP metadata are not a location measure, and no ethics-committee number is available for the 2022 collection (Section 3.5).</w:t>
      </w:r>
    </w:p>
    <w:bookmarkEnd w:id="46"/>
    <w:bookmarkStart w:id="47" w:name="conclusion"/>
    <w:p>
      <w:pPr>
        <w:pStyle w:val="Heading2"/>
      </w:pPr>
      <w:r>
        <w:t xml:space="preserve">8. Conclusion</w:t>
      </w:r>
    </w:p>
    <w:p>
      <w:pPr>
        <w:pStyle w:val="FirstParagraph"/>
      </w:pPr>
      <w:r>
        <w:t xml:space="preserve">In this sample,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That answer is bounded by N = 38 and by emergency remote teaching (Section 3.1). Whether later hybrid arrangements have closed the gap is a question this study cannot answer. Online Chinese teaching is not only a content problem. It is also a delivery problem.</w:t>
      </w:r>
    </w:p>
    <w:bookmarkEnd w:id="47"/>
    <w:bookmarkStart w:id="48" w:name="appendix-a.-appraisal-items-and-coding"/>
    <w:p>
      <w:pPr>
        <w:pStyle w:val="Heading2"/>
      </w:pPr>
      <w:r>
        <w:t xml:space="preserve">Appendix A. Appraisal items and coding</w:t>
      </w:r>
    </w:p>
    <w:p>
      <w:pPr>
        <w:pStyle w:val="FirstParagraph"/>
      </w:pPr>
      <w:r>
        <w:t xml:space="preserve">English glosses of the item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8"/>
    <w:bookmarkStart w:id="49" w:name="appendix-b.-secondary-statistics"/>
    <w:p>
      <w:pPr>
        <w:pStyle w:val="Heading2"/>
      </w:pPr>
      <w:r>
        <w:t xml:space="preserve">Appendix B. Secondary statistics</w:t>
      </w:r>
    </w:p>
    <w:p>
      <w:pPr>
        <w:pStyle w:val="FirstParagraph"/>
      </w:pPr>
      <w:r>
        <w:t xml:space="preserve">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9"/>
    <w:bookmarkStart w:id="50"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Beaunoyer, E., Dupéré, S., &amp; Guitton, M. J. (2020). COVID-19 and digital inequalities: Reciprocal impacts and mitigation strategies.</w:t>
      </w:r>
      <w:r>
        <w:t xml:space="preserve"> </w:t>
      </w:r>
      <w:r>
        <w:rPr>
          <w:iCs/>
          <w:i/>
        </w:rPr>
        <w:t xml:space="preserve">Computers in Human Behavior, 111</w:t>
      </w:r>
      <w:r>
        <w:t xml:space="preserve">, Article 106424. https://doi.org/10.1016/j.chb.2020.106424</w:t>
      </w:r>
    </w:p>
    <w:p>
      <w:pPr>
        <w:pStyle w:val="BodyText"/>
      </w:pPr>
      <w:r>
        <w:t xml:space="preserve">Butt, A., &amp; Sadaf, M. (2026). Getting around the digital horizon: Recognizing multifaceted digital divide among university students in Pakistan.</w:t>
      </w:r>
      <w:r>
        <w:t xml:space="preserve"> </w:t>
      </w:r>
      <w:r>
        <w:rPr>
          <w:iCs/>
          <w:i/>
        </w:rPr>
        <w:t xml:space="preserve">Journal of the Knowledge Economy, 17</w:t>
      </w:r>
      <w:r>
        <w:t xml:space="preserve">(4), 9567-9590. https://doi.org/10.1007/s13132-026-03164-7</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González-Lloret, M. (2020). Collaborative tasks for online language teaching.</w:t>
      </w:r>
      <w:r>
        <w:t xml:space="preserve"> </w:t>
      </w:r>
      <w:r>
        <w:rPr>
          <w:iCs/>
          <w:i/>
        </w:rPr>
        <w:t xml:space="preserve">Foreign Language Annals, 53</w:t>
      </w:r>
      <w:r>
        <w:t xml:space="preserve">(2), 260-269. https://doi.org/10.1111/flan.12466</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Guo, C., &amp; Wan, B. (2022). The digital divide in online learning in China during the COVID-19 pandemic.</w:t>
      </w:r>
      <w:r>
        <w:t xml:space="preserve"> </w:t>
      </w:r>
      <w:r>
        <w:rPr>
          <w:iCs/>
          <w:i/>
        </w:rPr>
        <w:t xml:space="preserve">Technology in Society, 71</w:t>
      </w:r>
      <w:r>
        <w:t xml:space="preserve">, Article 102122. https://doi.org/10.1016/j.techsoc.2022.102122</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Jin, L., Xu, Y., &amp; Deifell, E. (2023). College-level world language faculty background characteristics and their perceptions of online language teaching during the pandemic.</w:t>
      </w:r>
      <w:r>
        <w:t xml:space="preserve"> </w:t>
      </w:r>
      <w:r>
        <w:rPr>
          <w:iCs/>
          <w:i/>
        </w:rPr>
        <w:t xml:space="preserve">Foreign Language Annals, 57</w:t>
      </w:r>
      <w:r>
        <w:t xml:space="preserve">(1), 137-162. https://doi.org/10.1111/flan.12689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Lomicka, L. (2020). Creating and sustaining virtual language communities.</w:t>
      </w:r>
      <w:r>
        <w:t xml:space="preserve"> </w:t>
      </w:r>
      <w:r>
        <w:rPr>
          <w:iCs/>
          <w:i/>
        </w:rPr>
        <w:t xml:space="preserve">Foreign Language Annals, 53</w:t>
      </w:r>
      <w:r>
        <w:t xml:space="preserve">(2), 306-313. https://doi.org/10.1111/flan.12456</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Payne, J. S. (2020). Developing L2 productive language skills online and the strategic use of instructional tools.</w:t>
      </w:r>
      <w:r>
        <w:t xml:space="preserve"> </w:t>
      </w:r>
      <w:r>
        <w:rPr>
          <w:iCs/>
          <w:i/>
        </w:rPr>
        <w:t xml:space="preserve">Foreign Language Annals, 53</w:t>
      </w:r>
      <w:r>
        <w:t xml:space="preserve">(2), 243-249. https://doi.org/10.1111/flan.12457</w:t>
      </w:r>
    </w:p>
    <w:p>
      <w:pPr>
        <w:pStyle w:val="BodyText"/>
      </w:pPr>
      <w:r>
        <w:t xml:space="preserve">Qi, X. (2025).</w:t>
      </w:r>
      <w:r>
        <w:t xml:space="preserve"> </w:t>
      </w:r>
      <w:r>
        <w:t xml:space="preserve">‘</w:t>
      </w:r>
      <w:r>
        <w:t xml:space="preserve">My speech becomes just a voice, a picture</w:t>
      </w:r>
      <w:r>
        <w:t xml:space="preserve">’</w:t>
      </w:r>
      <w:r>
        <w:t xml:space="preserve">: Exploring language anxiety in Chinese as a second language learning in online environments.</w:t>
      </w:r>
      <w:r>
        <w:t xml:space="preserve"> </w:t>
      </w:r>
      <w:r>
        <w:rPr>
          <w:iCs/>
          <w:i/>
        </w:rPr>
        <w:t xml:space="preserve">Language Teaching Research</w:t>
      </w:r>
      <w:r>
        <w:t xml:space="preserve">. Advance online publication. https://doi.org/10.1177/13621688251387320</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Russell, V. (2020). Language anxiety and the online learner.</w:t>
      </w:r>
      <w:r>
        <w:t xml:space="preserve"> </w:t>
      </w:r>
      <w:r>
        <w:rPr>
          <w:iCs/>
          <w:i/>
        </w:rPr>
        <w:t xml:space="preserve">Foreign Language Annals, 53</w:t>
      </w:r>
      <w:r>
        <w:t xml:space="preserve">(2), 338-352. https://doi.org/10.1111/flan.12461</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Vishnu, S., Tengli, M. B., Ramadas, S., Sathyan, A. R., &amp; Bhatt, A. (2024). Bridging the divide: Assessing digital infrastructure for higher education online learning.</w:t>
      </w:r>
      <w:r>
        <w:t xml:space="preserve"> </w:t>
      </w:r>
      <w:r>
        <w:rPr>
          <w:iCs/>
          <w:i/>
        </w:rPr>
        <w:t xml:space="preserve">TechTrends, 68</w:t>
      </w:r>
      <w:r>
        <w:t xml:space="preserve">(6), 1107-1116. https://doi.org/10.1007/s11528-024-00997-4</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White, C. (2006). Distance learning of foreign languages.</w:t>
      </w:r>
      <w:r>
        <w:t xml:space="preserve"> </w:t>
      </w:r>
      <w:r>
        <w:rPr>
          <w:iCs/>
          <w:i/>
        </w:rPr>
        <w:t xml:space="preserve">Language Teaching, 39</w:t>
      </w:r>
      <w:r>
        <w:t xml:space="preserve">(4), 247-264. https://doi.org/10.1017/S0261444806003727</w:t>
      </w:r>
    </w:p>
    <w:p>
      <w:pPr>
        <w:pStyle w:val="BodyText"/>
      </w:pPr>
      <w:r>
        <w:t xml:space="preserve">Xu, B. (2024). Technology integration into Chinese as a foreign language learning in higher education: An integrated bibliometric analysis and systematic review (2000–2024).</w:t>
      </w:r>
      <w:r>
        <w:t xml:space="preserve"> </w:t>
      </w:r>
      <w:r>
        <w:rPr>
          <w:iCs/>
          <w:i/>
        </w:rPr>
        <w:t xml:space="preserve">Language Teaching Research</w:t>
      </w:r>
      <w:r>
        <w:t xml:space="preserve">. Advance online publication. https://doi.org/10.1177/13621688241277911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M., &amp; Liu, Q. (2023). Synchronous and asynchronous online collaborative writing: A study on Chinese language learners.</w:t>
      </w:r>
      <w:r>
        <w:t xml:space="preserve"> </w:t>
      </w:r>
      <w:r>
        <w:rPr>
          <w:iCs/>
          <w:i/>
        </w:rPr>
        <w:t xml:space="preserve">Foreign Language Annals, 56</w:t>
      </w:r>
      <w:r>
        <w:t xml:space="preserve">(3), 740-763. https://doi.org/10.1111/flan.12704</w:t>
      </w:r>
    </w:p>
    <w:p>
      <w:pPr>
        <w:pStyle w:val="BodyText"/>
      </w:pPr>
      <w:r>
        <w:t xml:space="preserve">Zhang, Q., &amp; Osborne, C. (2026). Readiness for digital transformation in Chinese as a foreign language education: A semi-systematic review.</w:t>
      </w:r>
      <w:r>
        <w:t xml:space="preserve"> </w:t>
      </w:r>
      <w:r>
        <w:rPr>
          <w:iCs/>
          <w:i/>
        </w:rPr>
        <w:t xml:space="preserve">Chinese as a Second Language Research, 15</w:t>
      </w:r>
      <w:r>
        <w:t xml:space="preserve">(1), 11-43. https://doi.org/10.1515/caslar-2026-2002</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50"/>
    <w:bookmarkEnd w:id="5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2026-08-24T04:01:54Z</dcterms:created>
  <dcterms:modified xsi:type="dcterms:W3CDTF">2026-08-24T04:01:54Z</dcterms:modified>
</cp:coreProperties>
</file>

<file path=docProps/custom.xml><?xml version="1.0" encoding="utf-8"?>
<Properties xmlns="http://schemas.openxmlformats.org/officeDocument/2006/custom-properties" xmlns:vt="http://schemas.openxmlformats.org/officeDocument/2006/docPropsVTypes"/>
</file>