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8bc7e0e5302306ce1fc1a297b6ba6e6c57c4e4"/>
    <w:p>
      <w:pPr>
        <w:pStyle w:val="Heading1"/>
      </w:pPr>
      <w:r>
        <w:t xml:space="preserve">Mainly Pakistani respondents reporting online Chinese coursework: household infrastructure and platform access during emergency remote teaching</w:t>
      </w:r>
    </w:p>
    <w:p>
      <w:pPr>
        <w:pStyle w:val="FirstParagraph"/>
      </w:pPr>
      <w:r>
        <w:rPr>
          <w:bCs/>
          <w:b/>
        </w:rPr>
        <w:t xml:space="preserve">Short title:</w:t>
      </w:r>
      <w:r>
        <w:t xml:space="preserve"> </w:t>
      </w:r>
      <w:r>
        <w:t xml:space="preserve">Remote Chinese: delivery-context fit</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codebook, and analysis syntax are available in a public repository. Variables that could increase re-identification risk in this small convenience sample have been removed or coarsened. Files containing names, IP addresses, timestamps, or device identifiers will not be shared.</w:t>
      </w:r>
    </w:p>
    <w:bookmarkStart w:id="20" w:name="abstract"/>
    <w:p>
      <w:pPr>
        <w:pStyle w:val="Heading2"/>
      </w:pPr>
      <w:r>
        <w:t xml:space="preserve">Abstract</w:t>
      </w:r>
    </w:p>
    <w:p>
      <w:pPr>
        <w:pStyle w:val="FirstParagraph"/>
      </w:pPr>
      <w:r>
        <w:t xml:space="preserve">This article investigates a curriculum-implementation problem in international Chinese language education (ICLE): a course may be localised in content and still be difficult to take if its timetable, platforms, tasks, and assessment travel unchanged. A February 2022 Wenjuan questionnaire asked 38 self-selected respondents—37 of whom selected Pakistani nationality—what household, connectivity, and platform-access conditions they faced in online Chinese-language courses, and how those conditions sat alongside stress and appraisals of online learning. The article proposes</w:t>
      </w:r>
      <w:r>
        <w:t xml:space="preserve"> </w:t>
      </w:r>
      <w:r>
        <w:rPr>
          <w:iCs/>
          <w:i/>
        </w:rPr>
        <w:t xml:space="preserve">localisation of delivery</w:t>
      </w:r>
      <w:r>
        <w:t xml:space="preserve"> </w:t>
      </w:r>
      <w:r>
        <w:t xml:space="preserve">and uses the questionnaire to identify learner-side conditions that such practices would need to address, not to measure institutional adaptation. Unstable networks (76.3%) and power interruptions (42.1%) were commonly reported, and 36.8% selected</w:t>
      </w:r>
      <w:r>
        <w:t xml:space="preserve"> </w:t>
      </w:r>
      <w:r>
        <w:t xml:space="preserve">“</w:t>
      </w:r>
      <w:r>
        <w:t xml:space="preserve">very high stress.</w:t>
      </w:r>
      <w:r>
        <w:t xml:space="preserve">”</w:t>
      </w:r>
      <w:r>
        <w:t xml:space="preserve"> </w:t>
      </w:r>
      <w:r>
        <w:t xml:space="preserve">Those who said home conditions affected study</w:t>
      </w:r>
      <w:r>
        <w:t xml:space="preserve"> </w:t>
      </w:r>
      <w:r>
        <w:t xml:space="preserve">“</w:t>
      </w:r>
      <w:r>
        <w:t xml:space="preserve">very much</w:t>
      </w:r>
      <w:r>
        <w:t xml:space="preserve">”</w:t>
      </w:r>
      <w:r>
        <w:t xml:space="preserve"> </w:t>
      </w:r>
      <w:r>
        <w:t xml:space="preserve">more often selected that category (11/14 versus 3/24; Fisher’s exact (p = .00008)). Worse reported internet speed was associated with a more negative appraisal of online learning ((</w:t>
      </w:r>
      <w:r>
        <w:t xml:space="preserve">= .65), 95% bootstrap CI ([.36, .84])). QQ and Chaoxing were frequently marked unusable; Zoom and WhatsApp were more often marked available. In this sample, delivery-context fit was a live problem for online Chinese learning. The results are exploratory and are not read as evidence of current hybrid practice.</w:t>
      </w:r>
    </w:p>
    <w:p>
      <w:pPr>
        <w:pStyle w:val="BodyText"/>
      </w:pPr>
      <w:r>
        <w:rPr>
          <w:bCs/>
          <w:b/>
        </w:rPr>
        <w:t xml:space="preserve">Keywords:</w:t>
      </w:r>
      <w:r>
        <w:t xml:space="preserve"> </w:t>
      </w:r>
      <w:r>
        <w:t xml:space="preserve">localisation of delivery; Chinese as an additional language;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The problem this article investigates is easy to miss. International Chinese language education has become skilled at localising what a course</w:t>
      </w:r>
      <w:r>
        <w:t xml:space="preserve"> </w:t>
      </w:r>
      <w:r>
        <w:rPr>
          <w:iCs/>
          <w:i/>
        </w:rPr>
        <w:t xml:space="preserve">says</w:t>
      </w:r>
      <w:r>
        <w:t xml:space="preserve">: its examples, cultural content, and materials (Lu et al., 2024; McDonough &amp; Shaw, 2003; Tomlinson, 2011; Zhao, 2020). It has said much less about whether the course can still be</w:t>
      </w:r>
      <w:r>
        <w:t xml:space="preserve"> </w:t>
      </w:r>
      <w:r>
        <w:rPr>
          <w:iCs/>
          <w:i/>
        </w:rPr>
        <w:t xml:space="preserve">taken</w:t>
      </w:r>
      <w:r>
        <w:t xml:space="preserve"> </w:t>
      </w:r>
      <w:r>
        <w:t xml:space="preserve">once it leaves the setting in which it was designed. A travelling course may keep its original timetable, required platforms, oral tasks, and forms of assessment. If those arrangements do not fit the household and technological conditions in which learners actually participate, the curriculum is local in content but closed in delivery. That mismatch—between a course that looks localised and a course that can be joined—is the problem the present study sets out to examine.</w:t>
      </w:r>
    </w:p>
    <w:p>
      <w:pPr>
        <w:pStyle w:val="BodyText"/>
      </w:pPr>
      <w:r>
        <w:t xml:space="preserve">The problem matters because language, culture, and curriculum meet not only in the textbook but in the setting of the class (Guerrettaz et al., 2021; van Lier, 2004). Research in the field has mapped learners and pedagogical practices associated with Chinese-speaking educational settings (Gong et al., 2020b; Ma et al., 2017). Postmethod and localist scholarship already argues that pedagogy should answer to a particular group and place (Canagarajah, 2005; Kumaravadivelu, 2001), and recent articles in this journal treat curriculum as lived practice (Lam, 2024; Shan &amp; Xu, 2024). These approaches remain necessary. They do not, by themselves, tell us whether the institutional arrangements of a course—its time, platforms, tasks, participation mode, and assessment—remain feasible when teaching moves.</w:t>
      </w:r>
    </w:p>
    <w:p>
      <w:pPr>
        <w:pStyle w:val="BodyText"/>
      </w:pPr>
      <w:r>
        <w:t xml:space="preserve">This article addresses that implementation gap. It proposes</w:t>
      </w:r>
      <w:r>
        <w:t xml:space="preserve"> </w:t>
      </w:r>
      <w:r>
        <w:rPr>
          <w:iCs/>
          <w:i/>
        </w:rPr>
        <w:t xml:space="preserve">localisation of delivery</w:t>
      </w:r>
      <w:r>
        <w:t xml:space="preserve"> </w:t>
      </w:r>
      <w:r>
        <w:t xml:space="preserve">as the name for the missing work: the institutional adaptation of time, platform, task, participation mode, and assessment to the receiving context. The idea is close to, but narrower than, accessibility and digital inclusion (Warschauer, 2003). The claim it seeks to make good is straightforward. A course may be locally relevant in content but inaccessible in delivery. The questionnaire cannot show how institutions adapted. What it can do, and what it is used for here, is to answer a prior empirical question: what learner-side conditions would such adaptation have to take seriously?</w:t>
      </w:r>
    </w:p>
    <w:p>
      <w:pPr>
        <w:pStyle w:val="BodyText"/>
      </w:pPr>
      <w:r>
        <w:t xml:space="preserve">Emergency remote teaching during COVID-19 is the historical setting in which that question became urgent; it is not the theoretical centre of the argument (Hodges et al., 2020). When language programmes were shifted to videoconferencing, researchers documented thinner interaction, technical disruption, and the sudden visibility of domestic life during lessons (Gacs et al., 2020; MacIntyre et al., 2020; Moser et al., 2021; Tao &amp; Gao, 2022). Drawing on that literature (Gacs et al., 2020), this article uses</w:t>
      </w:r>
      <w:r>
        <w:t xml:space="preserve"> </w:t>
      </w:r>
      <w:r>
        <w:rPr>
          <w:iCs/>
          <w:i/>
        </w:rPr>
        <w:t xml:space="preserve">travelling course</w:t>
      </w:r>
      <w:r>
        <w:t xml:space="preserve"> </w:t>
      </w:r>
      <w:r>
        <w:t xml:space="preserve">for a course designed in one institutional setting and taught in another. Studies of Chinese-language emergency teaching have so far said more about pedagogical adaptation on the sending side—for example, technology-based character instruction (Xu et al., 2022)—than about whether delivery arrangements remained feasible for learners under different household and technological conditions. That is the gap this study fills.</w:t>
      </w:r>
    </w:p>
    <w:p>
      <w:pPr>
        <w:pStyle w:val="BodyText"/>
      </w:pPr>
      <w:r>
        <w:t xml:space="preserve">The analysis draws on a February 2022 convenience sample of 38 self-selected respondents to a Chinese-language questionnaire about online Chinese learning. Thirty-seven respondents selected Pakistani nationality, while one selected another nationality. Nationality is the only Pakistan connection established in the dataset; residence, recruitment pathway, institutional affiliation, programme status, and physical location were not verified. Literature on Pakistani educational mobility and university e-learning during COVID-19 is therefore used only as contextual background for the nationality reported by most respondents (Jamil &amp; Muschert, 2023; Tu, 2026). Twenty-seven respondents (71.1%) reported taking required courses online, while 23 (60.5%) reported taking elective courses online. The findings from this self-selected group are treated as exploratory rather than representative. Much of the research on international students of Chinese has examined learners already on a Chinese campus (Gao &amp; Hua, 2021; Gong et al., 2020a); this sample cannot be read as that population.</w:t>
      </w:r>
    </w:p>
    <w:p>
      <w:pPr>
        <w:pStyle w:val="BodyText"/>
      </w:pPr>
      <w:r>
        <w:t xml:space="preserve">What the article answers, then, is not whether institutions localised delivery, and not whether later hybrid practice has solved the problem. It answers three questions about this 2022 sample:</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Those answers are used to argue that ICLE localisation has an implementation problem that content and materials work cannot settle on their own. Counts are used descriptively. Associations are explored with Fisher’s exact tests and Spearman rank correlations and are not read as confirmatory tests of population-level relationships. Section 2 locates the study in the emergency-remote-teaching literature, in work on digital inequality and home learning ecologies, and in the proposed account of localisation of delivery. Section 3 describes the questionnaire. Sections 4 and 5 report and discuss the findings, and the final sections set out implications, limitations, and the article’s answer.</w:t>
      </w:r>
    </w:p>
    <w:bookmarkEnd w:id="21"/>
    <w:bookmarkStart w:id="26" w:name="Xa71efe292272ba0d775f88aaa92c3e49c1e1383"/>
    <w:p>
      <w:pPr>
        <w:pStyle w:val="Heading2"/>
      </w:pPr>
      <w:r>
        <w:t xml:space="preserve">2. Literature review and conceptual framework</w:t>
      </w:r>
    </w:p>
    <w:bookmarkStart w:id="22" w:name="X466d9fa4ba9675c3d2d096fe48fd97f00c4a10c"/>
    <w:p>
      <w:pPr>
        <w:pStyle w:val="Heading3"/>
      </w:pPr>
      <w:r>
        <w:t xml:space="preserve">2.1 Emergency remote teaching as historical context</w:t>
      </w:r>
    </w:p>
    <w:p>
      <w:pPr>
        <w:pStyle w:val="FirstParagraph"/>
      </w:pPr>
      <w:r>
        <w:t xml:space="preserve">Hodges et al. (2020) drew a useful line between emergency remote teaching and planned online or blended provision. Gacs, Goertler and Spasova (2020) brought that distinction into language education. Surveys of language teachers from the same period describe heavier workloads, stress, and uneven preparedness once teaching moved online (MacIntyre et al., 2020; Moser et al., 2021), and Tao and Gao (2022) read the wider literature as a story of technical disruption, thinner engagement, and the need for language-specific support. That work is used here to locate the historical moment, not to stand in for the stress reports in the present questionnaire.</w:t>
      </w:r>
    </w:p>
    <w:p>
      <w:pPr>
        <w:pStyle w:val="BodyText"/>
      </w:pPr>
      <w:r>
        <w:t xml:space="preserve">After campuses reopened, later studies described a kind of technological normalisation (Moorhouse, 2023; Moorhouse, Wong, &amp; Li, 2023) and cautioned against treating a videoconference copy of the classroom as the main lesson of the crisis (Stockwell &amp; Wang, 2023). For Chinese, contemporaneous accounts recorded the policy of</w:t>
      </w:r>
      <w:r>
        <w:t xml:space="preserve"> </w:t>
      </w:r>
      <w:r>
        <w:t xml:space="preserve">“</w:t>
      </w:r>
      <w:r>
        <w:t xml:space="preserve">suspending classes without stopping learning</w:t>
      </w:r>
      <w:r>
        <w:t xml:space="preserve">”</w:t>
      </w:r>
      <w:r>
        <w:t xml:space="preserve"> </w:t>
      </w:r>
      <w:r>
        <w:t xml:space="preserve">and early platform trials (Xia et al., 2022; Zhang et al., 2020). Xu et al. (2022) show how character teaching was adapted on the sending side. Reviews of online ICLE models continue to mention technical problems, weak interaction, and time-zone difficulty (Li &amp; Li, 2024), and learner emotion in Chinese as an additional language is already a topic in this journal (Wen &amp; Liu, 2025). Much of that writing quietly assumes a relatively stable connection. The present questionnaire cannot test whether that assumption holds for current hybrid ICLE; it can only describe what 38 respondents reported in February 2022.</w:t>
      </w:r>
    </w:p>
    <w:bookmarkEnd w:id="22"/>
    <w:bookmarkStart w:id="23" w:name="X8fd0326383b50249221392c76a6b8ab8b037526"/>
    <w:p>
      <w:pPr>
        <w:pStyle w:val="Heading3"/>
      </w:pPr>
      <w:r>
        <w:t xml:space="preserve">2.2 Digital inequality and the home learning ecology</w:t>
      </w:r>
    </w:p>
    <w:p>
      <w:pPr>
        <w:pStyle w:val="FirstParagraph"/>
      </w:pPr>
      <w:r>
        <w:t xml:space="preserve">Later models of the digital divide distinguish motivational, material, skills, usage, and outcome access (Helsper, 2021; van Dijk, 2020; Warschauer, 2003). Owning a device is not the same as being able to take part (Ali, 2020). Interview research on Pakistani university e-learning during COVID-19 found uneven first-level access (internet and devices) and second-level skills, with rural and less-resourced students more exposed (Jamil &amp; Muschert, 2023). Household use of educational technology is also shaped by device sharing, care work, and electricity (Raza &amp; Hennessy, 2025). The latter source is a grey-literature report, and neither study is treated as evidence about the 38 respondents here; both are cited only as background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The conditions reported in this questionnaire—domestic space, paid or care work, and the circumstances of speaking in class—are therefore read as elements of respondents’ immediate learning ecologies. Power interruptions, applications marked unusable, and weak bandwidth are material and infrastructural facts, not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usually meant personalising content so that it speaks to a particular group (McDonough &amp; Shaw, 2003; Tomlinson, 2011). Canagarajah (2005) and Kumaravadivelu (2001) locate pedagogy in a specific group and place. The promotion of Chinese has long been organised through institutes, textbooks, and tests (Zhao &amp; Huang, 2010), and ICLE research has applied localisation mainly to curriculum construction and textbook adaptation (Lu et al., 2024; Zhao, 2020). Lam (2024) shows how literacy practices are reshaped in a local university classroom. Guerrettaz et al. (2021) push materials off the page and into use. If that move is taken seriously, localisation also has to ask whether learners can reach and take part in the class as it is delivered.</w:t>
      </w:r>
    </w:p>
    <w:p>
      <w:pPr>
        <w:pStyle w:val="BodyText"/>
      </w:pPr>
      <w:r>
        <w:t xml:space="preserve">It is helpful to keep four layers distinct:</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because that is the layer in which the research problem sits. Localisation of delivery does not replace accessibility or digital inclusion; it names the institutional decisions through which access is made possible or closed off when a course moves—the timing of the class, the required application, the oral task, or the form of assessment. The questionnaire did not observe those institutional decisions. It recorded the learner-side conditions against which such decisions would have to be judged, which is the empirical question this study can answer. The claim that follows is therefore conceptual rather than institutional: a course may be locally relevant in content but inaccessible in delivery. It is localised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not as post-COVID evidence.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respondents in the present study completed a Chinese-language questionnaire about online Chinese classes. They are not treated as a Confucius Institute classroom sample, and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2" w:name="the-study"/>
    <w:p>
      <w:pPr>
        <w:pStyle w:val="Heading2"/>
      </w:pPr>
      <w:r>
        <w:t xml:space="preserve">3. The study</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7"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Complete cases were submitted between 5 and 8 February 2022 (N = 38). The form did not record how the link was circulated—whether through WeChat, WhatsApp, email, or student groups—so the recruitment channel cannot be named. Respondents were adults who completed the Chinese-language questionnaire about online Chinese learning. Completing that questionnaire is not treated as proof of enrolment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programme. The study therefore concerns a self-selected group of respondents reporting participation in online Chinese-language courses, not a verified enrolment record.</w:t>
      </w:r>
    </w:p>
    <w:bookmarkEnd w:id="27"/>
    <w:bookmarkStart w:id="28"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8"/>
    <w:bookmarkStart w:id="29"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proficiency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29"/>
    <w:bookmarkStart w:id="30" w:name="analysis"/>
    <w:p>
      <w:pPr>
        <w:pStyle w:val="Heading3"/>
      </w:pPr>
      <w:r>
        <w:t xml:space="preserve">3.4 Analysis</w:t>
      </w:r>
    </w:p>
    <w:p>
      <w:pPr>
        <w:pStyle w:val="FirstParagraph"/>
      </w:pPr>
      <w:r>
        <w:t xml:space="preserve">Frequencies are n/38 unless noted. Multiple-response items are the percentage who selected the option. Two associations were treated as focal: (a) home affects study very much × very high stress; and (b) internet speed × the appraisal index. For the 2 × 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0"/>
    <w:bookmarkStart w:id="31"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and numbered approval was not obtained. This article reports an anonymised secondary analysis of that file.</w:t>
      </w:r>
    </w:p>
    <w:bookmarkEnd w:id="31"/>
    <w:bookmarkEnd w:id="32"/>
    <w:bookmarkStart w:id="37" w:name="results"/>
    <w:p>
      <w:pPr>
        <w:pStyle w:val="Heading2"/>
      </w:pPr>
      <w:r>
        <w:t xml:space="preserve">4. Results</w:t>
      </w:r>
    </w:p>
    <w:bookmarkStart w:id="33"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and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the conditions respondents reported. Unstable networks (76.3%) and power interruptions (42.1%) were common. Speed was split: 36.8% good or very good, 36.8% average, and 26.3% bad or very bad. Four respondents (10.5%) said their country did not have internet, yet all 38 submitted an online form. The item wording does not allow a firm reinterpretation, so the response is reported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 Descriptively, 36.8% of the sample selected the very-high-stress category.</w:t>
      </w:r>
    </w:p>
    <w:bookmarkEnd w:id="33"/>
    <w:bookmarkStart w:id="34"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The pattern is read as a possible platform-geography dimension of delivery-context fit. The questionnaire cannot isolate country restrictions, routing, account rules, skills, or virtual private networks.</w:t>
      </w:r>
    </w:p>
    <w:p>
      <w:pPr>
        <w:pStyle w:val="BodyText"/>
      </w:pPr>
      <w:r>
        <w:t xml:space="preserve">The tools reported as used for class were Tencent Meeting (71.1%), Zoom (47.4%), and WeChat (31.6%). Those marked unusable</w:t>
      </w:r>
      <w:r>
        <w:t xml:space="preserve"> </w:t>
      </w:r>
      <w:r>
        <w:t xml:space="preserve">“</w:t>
      </w:r>
      <w:r>
        <w:t xml:space="preserve">in my country</w:t>
      </w:r>
      <w:r>
        <w:t xml:space="preserve">”</w:t>
      </w:r>
      <w:r>
        <w:t xml:space="preserve"> </w:t>
      </w:r>
      <w:r>
        <w:t xml:space="preserve">included QQ (50.0%), Chaoxing (42.1%), DingTalk (28.9%), and 中国慕课 (28.9%). Those marked available included Zoom (71.1%), WhatsApp (68.4%), Tencent Meeting (57.9%), and WeChat (39.5%).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4"/>
    <w:bookmarkStart w:id="35"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When classroom talk was reported, it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and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options (unstable network, power interruptions, no signal) was not associated with the index (ρ = .02,</w:t>
      </w:r>
      <w:r>
        <w:t xml:space="preserve"> </w:t>
      </w:r>
      <w:r>
        <w:rPr>
          <w:iCs/>
          <w:i/>
        </w:rPr>
        <w:t xml:space="preserve">p</w:t>
      </w:r>
      <w:r>
        <w:t xml:space="preserve"> </w:t>
      </w:r>
      <w:r>
        <w:t xml:space="preserve">= .91, percentile bootstrap 95% CI [−.32, .37]). That count is an exploratory post hoc indicator: unstable network and no signal may overlap, and power interruptions are a different layer of infrastructure. The non-significant correlation is therefore not read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5"/>
    <w:bookmarkStart w:id="36"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6"/>
    <w:bookmarkEnd w:id="37"/>
    <w:bookmarkStart w:id="38" w:name="discussion"/>
    <w:p>
      <w:pPr>
        <w:pStyle w:val="Heading2"/>
      </w:pPr>
      <w:r>
        <w:t xml:space="preserve">5. Discussion</w:t>
      </w:r>
    </w:p>
    <w:p>
      <w:pPr>
        <w:pStyle w:val="FirstParagraph"/>
      </w:pPr>
      <w:r>
        <w:t xml:space="preserve">The study set out to establish whether delivery-context fit was a live problem for online Chinese learning in this 2022 sample. The answer is yes. Respondents commonly reported unstable networks, power interruptions, and uneven platform access.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What it does show is the learner-side conditions that would have pressed on any travelling Chinese-language course. Localisation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38"/>
    <w:bookmarkStart w:id="39" w:name="Xa4b283138da25a30b7a49a65f021a6e6787929a"/>
    <w:p>
      <w:pPr>
        <w:pStyle w:val="Heading2"/>
      </w:pPr>
      <w:r>
        <w:t xml:space="preserve">6. Implications for curriculum implementation</w:t>
      </w:r>
    </w:p>
    <w:p>
      <w:pPr>
        <w:pStyle w:val="FirstParagraph"/>
      </w:pPr>
      <w:r>
        <w:t xml:space="preserve">If localisation is also a question of delivery, course design has to treat time, platform, participation mode, task, and assessment as curricular decisions rather than as technical afterthoughts. The present findings can support only cautious, sample-bound suggestions: shorter or asynchronous oral alternatives; assessment that does not assume a quiet campus hour; and a required platform that respondents can actually open. WhatsApp was marked available here, but it was not recorded as used for class, so the data do not recommend it as a replacement. Nor do they show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39"/>
    <w:bookmarkStart w:id="40" w:name="limitations"/>
    <w:p>
      <w:pPr>
        <w:pStyle w:val="Heading2"/>
      </w:pPr>
      <w:r>
        <w:t xml:space="preserve">7.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and the infrastructure-problem count is an unvalidated post hoc indicator. The form did not measure institutional adaptation, so localisation of delivery remains a conceptual reading of student-side conditions. The data are from February 2022 and concern emergency remote teaching; they are not evidence about current hybrid education. No ethics-committee number is available for the 2022 collection (Section 3.5).</w:t>
      </w:r>
    </w:p>
    <w:bookmarkEnd w:id="40"/>
    <w:bookmarkStart w:id="41" w:name="conclusion"/>
    <w:p>
      <w:pPr>
        <w:pStyle w:val="Heading2"/>
      </w:pPr>
      <w:r>
        <w:t xml:space="preserve">8. Conclusion</w:t>
      </w:r>
    </w:p>
    <w:p>
      <w:pPr>
        <w:pStyle w:val="FirstParagraph"/>
      </w:pPr>
      <w:r>
        <w:t xml:space="preserve">This article asked whether a Chinese-language course can be localised in content and still be difficult to take if its delivery arrangements travel unchanged. In this 2022 sample the answer is that it can.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The contribution is therefore both conceptual and empirical:</w:t>
      </w:r>
      <w:r>
        <w:t xml:space="preserve"> </w:t>
      </w:r>
      <w:r>
        <w:rPr>
          <w:iCs/>
          <w:i/>
        </w:rPr>
        <w:t xml:space="preserve">localisation of delivery</w:t>
      </w:r>
      <w:r>
        <w:t xml:space="preserve"> </w:t>
      </w:r>
      <w:r>
        <w:t xml:space="preserve">names the implementation work that content and materials adaptation leave unfinished, and the questionnaire identifies learner-side conditions that such work would need to address. That answer is bounded by N = 38 and by an emergency-remote-teaching dataset. Whether later hybrid arrangements have closed the gap is a question this study cannot answer. The problem it can settle, for this sample, is the more basic one: delivery-context fit is part of what ICLE localisation has to solve.</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2026-08-23T10:11:41Z</dcterms:created>
  <dcterms:modified xsi:type="dcterms:W3CDTF">2026-08-23T10:11:41Z</dcterms:modified>
</cp:coreProperties>
</file>

<file path=docProps/custom.xml><?xml version="1.0" encoding="utf-8"?>
<Properties xmlns="http://schemas.openxmlformats.org/officeDocument/2006/custom-properties" xmlns:vt="http://schemas.openxmlformats.org/officeDocument/2006/docPropsVTypes"/>
</file>