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3c39fec4510a5d3ad14aecff5d2131a9fc6cdc"/>
    <w:p>
      <w:pPr>
        <w:pStyle w:val="Heading1"/>
      </w:pPr>
      <w:r>
        <w:t xml:space="preserve">Home conditions and platform access for online Chinese learners</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analysed 38 completed questionnaires, written in Chinese, from people who said they were taking online Chinese courses.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in February 2022,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If the hour, the application, the oral task, and the test all assume a quiet home and a stable connection, what should a program do when those conditions are not there?</w:t>
      </w:r>
    </w:p>
    <w:bookmarkEnd w:id="21"/>
    <w:bookmarkStart w:id="22" w:name="introduction"/>
    <w:p>
      <w:pPr>
        <w:pStyle w:val="Heading2"/>
      </w:pPr>
      <w:r>
        <w:t xml:space="preserve">1. Introduction</w:t>
      </w:r>
    </w:p>
    <w:p>
      <w:pPr>
        <w:pStyle w:val="FirstParagraph"/>
      </w:pPr>
      <w:r>
        <w:t xml:space="preserve">When Chinese teaching moved online, many programs kept the sending class’s timetable and classroom tasks. Task guides still assume that students can join a live session (Gacs et al., 2020; González-Lloret, 2020; Hodges et al., 2020; Payne, 2020; Stockwell &amp; Wang, 2023). That assumption often fails. Studies of online language teaching, including online Chinese, have already noted unstable networks, platforms that are hard to open, thinner talk, and strain (Li &amp; Li, 2024; Moser et al., 2021; Qi, 2025; Russell, 2020; Tao &amp; Gao, 2022). A device in the house is not enough if there is no power, little speed, or no usable application (Ali, 2020; Beaunoyer et al., 2020; Guo &amp; Wan, 2022; Vishnu et al., 2024; Warschauer, 2003). Distance language learning had already asked whether a remote class was even feasible (White, 2006). When those conditions do not hold, the content may still be sound, but the class is closed.</w:t>
      </w:r>
    </w:p>
    <w:p>
      <w:pPr>
        <w:pStyle w:val="BodyText"/>
      </w:pPr>
      <w:r>
        <w:t xml:space="preserve">Those difficulties are often named. They are less often measured from the learner’s side. Emergency papers used them as a backdrop for teacher workload, sending-side adaptation, or a video copy of the campus hour (MacIntyre et al., 2020; Moser et al., 2021; Xu et al., 2022). Later papers asked what should remain of that emergency practice (Moorhouse, 2023; Stockwell &amp; Wang, 2023). Reviews still list technical trouble and still say little about household access (Li &amp; Li, 2024; Xu, 2024; Zhang &amp; Osborne, 2026). Planned online courses and studies of learner emotion show what designed online Chinese teaching can look like (Guenier et al., 2026; Qi, 2025; Wen &amp; Liu, 2025). They do not show whether an online class could still be taken where learners sat. Work on international Chinese teaching has said more about what a course says than about whether learners can enter it (Gong et al., 2020b).</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 The study asks:</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w:t>
      </w:r>
      <w:r>
        <w:t xml:space="preserve"> </w:t>
      </w:r>
      <w:r>
        <w:t xml:space="preserve">How did those conditions sit alongside</w:t>
      </w:r>
      <w:r>
        <w:t xml:space="preserve"> </w:t>
      </w:r>
      <w:r>
        <w:t xml:space="preserve">“</w:t>
      </w:r>
      <w:r>
        <w:t xml:space="preserve">very high stress</w:t>
      </w:r>
      <w:r>
        <w:t xml:space="preserve">”</w:t>
      </w:r>
      <w:r>
        <w:t xml:space="preserve"> </w:t>
      </w:r>
      <w:r>
        <w:t xml:space="preserve">and their appraisals of online learning?</w:t>
      </w:r>
    </w:p>
    <w:p>
      <w:pPr>
        <w:pStyle w:val="BodyText"/>
      </w:pPr>
      <w:r>
        <w:t xml:space="preserve">The form also asked whether online study could replace campus classes. That item is reported as a count.</w:t>
      </w:r>
    </w:p>
    <w:p>
      <w:pPr>
        <w:pStyle w:val="BodyText"/>
      </w:pPr>
      <w:r>
        <w:t xml:space="preserve">The frequencies describe the sample. The two associations in RQ2 are exploratory tests on these data.</w:t>
      </w:r>
    </w:p>
    <w:bookmarkEnd w:id="22"/>
    <w:bookmarkStart w:id="25" w:name="literature-review"/>
    <w:p>
      <w:pPr>
        <w:pStyle w:val="Heading2"/>
      </w:pPr>
      <w:r>
        <w:t xml:space="preserve">2. Literature review</w:t>
      </w:r>
    </w:p>
    <w:bookmarkStart w:id="23" w:name="later-lenses-on-online-chinese-teaching"/>
    <w:p>
      <w:pPr>
        <w:pStyle w:val="Heading3"/>
      </w:pPr>
      <w:r>
        <w:t xml:space="preserve">2.1 Later lenses on online Chinese teaching</w:t>
      </w:r>
    </w:p>
    <w:p>
      <w:pPr>
        <w:pStyle w:val="FirstParagraph"/>
      </w:pPr>
      <w:r>
        <w:t xml:space="preserve">Hodges et al. (2020) distinguished emergency remote teaching from planned online provision. Gacs, Goertler, and Spasova (2020) brought that distinction into language education. Language-teacher surveys from the same period describe heavier workloads and uneven preparedness (Moser et al., 2021). Tao and Gao (2022) read the wider literature as a story of technical disruption and thinner engagement. In this journal, Russell (2020) treats language anxiety as a condition of the online learner, and Lomicka (2020) treats interaction as a problem of virtual community rather than of a copied campus hour. That work locates the moment in which the present questionnaire was completed. It is not a substitute for the stress reports in this sample.</w:t>
      </w:r>
    </w:p>
    <w:p>
      <w:pPr>
        <w:pStyle w:val="BodyText"/>
      </w:pPr>
      <w:r>
        <w:t xml:space="preserve">After the return to campus, studies asked what should remain of emergency online practice (Moorhouse, 2023) and cautioned against treating a videoconference copy of the classroom as the lesson of the crisis (Stockwell &amp; Wang, 2023). For Chinese, contemporaneous policy writing recorded</w:t>
      </w:r>
      <w:r>
        <w:t xml:space="preserve"> </w:t>
      </w:r>
      <w:r>
        <w:t xml:space="preserve">“</w:t>
      </w:r>
      <w:r>
        <w:t xml:space="preserve">suspending classes without stopping learning</w:t>
      </w:r>
      <w:r>
        <w:t xml:space="preserve">”</w:t>
      </w:r>
      <w:r>
        <w:t xml:space="preserve"> </w:t>
      </w:r>
      <w:r>
        <w:t xml:space="preserve">(Zhang et al., 2020). Xu et al. (2022) show how character teaching was adapted on the sending side. Jin et al. (2023) report faculty perceptions of pandemic online teaching. Zhang and Liu (2023) examine online collaborative writing among Chinese-language learners in designed conditions. Later reviews still say more about tools than about household access, and they still flag digital equity as under-examined (Li &amp; Li, 2024; Xu, 2024; Zhang &amp; Osborne, 2026). Designed online Chinese-culture courses show a planned alternative to emergency copying (Guenier et al., 2026). Qi (2025) shows that an online Chinese class can itself become an anxiety-provoking setting. Those studies do not describe the present respondents. Much of that writing still assumes a relatively stable connection. The present questionnaire cannot test whether that assumption holds for current hybrid teaching. It can show what 38 respondents reported.</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material access from skills, usage, and outcomes (Helsper, 2021; van Dijk, 2020; Warschauer, 2003). Owning a device is not the same as being able to take part (Ali, 2020; Beaunoyer et al., 2020; Guo &amp; Wan, 2022; Vishnu et al., 2024). An ecological view of language education takes the setting of the class, not only the student and the application, as the unit of analysis (Guerrettaz et al., 2021; van Lier, 2004). Domestic space, paid or care work, power interruptions, and applications marked unusable are read here as part of the immediate setting in which the 38 respondents said they were studying.</w:t>
      </w:r>
    </w:p>
    <w:bookmarkEnd w:id="24"/>
    <w:bookmarkEnd w:id="25"/>
    <w:bookmarkStart w:id="31"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6" w:name="design-and-context"/>
    <w:p>
      <w:pPr>
        <w:pStyle w:val="Heading3"/>
      </w:pPr>
      <w:r>
        <w:t xml:space="preserve">3.1 Design and context</w:t>
      </w:r>
    </w:p>
    <w:p>
      <w:pPr>
        <w:pStyle w:val="FirstParagraph"/>
      </w:pPr>
      <w:r>
        <w:t xml:space="preserve">The instrument title on the Wenjuan export is Influencing factors in international students’ online Chinese learning during COVID-19. The items are those on that retained form. No separate validation study or recorded pilot of the instrument is available. This article is a secondary analysis of the completed responses. Complete cases were submitted between 5 and 8 February 2022 (N = 38), during emergency remote teaching. That collection window is a methodological fact; the article does not treat the sample as a picture of current hybrid practice. The form did not record how the link was circulated, so the recruitment channel cannot be named. Respondents were adults who completed a questionnaire written in Chinese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 The study therefore concerns a self-selected group of respondents reporting participation in online Chinese-language courses, not a verified enrollment record.</w:t>
      </w:r>
    </w:p>
    <w:bookmarkEnd w:id="26"/>
    <w:bookmarkStart w:id="27"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7"/>
    <w:bookmarkStart w:id="28"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The items were written in Chinese. Some wording was non-native. Reporting uses English glosses. Self-rated Chinese level was intermediate or advanced for 37 of 38 respondents. The instrument did not include a comprehension check, so completion of a questionnaire written in Chinese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on the form (glossed as very high), not an analyst-created threshold or a cut on a multi-item scale. The focal stress analysis uses a dummy for this category and does not reverse the ordinal. Coding directions are in Appendix A.</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In the results the item is reported as</w:t>
      </w:r>
      <w:r>
        <w:t xml:space="preserve"> </w:t>
      </w:r>
      <w:r>
        <w:rPr>
          <w:iCs/>
          <w:i/>
        </w:rPr>
        <w:t xml:space="preserve">power interruptions</w:t>
      </w:r>
      <w:r>
        <w:t xml:space="preserve"> </w:t>
      </w:r>
      <w:r>
        <w:t xml:space="preserve">(export label: no electricity). Chinese MOOC is reported as printed on the form; the option did not name a single provider.</w:t>
      </w:r>
    </w:p>
    <w:bookmarkEnd w:id="28"/>
    <w:bookmarkStart w:id="29" w:name="analysis"/>
    <w:p>
      <w:pPr>
        <w:pStyle w:val="Heading3"/>
      </w:pPr>
      <w:r>
        <w:t xml:space="preserve">3.4 Analysis</w:t>
      </w:r>
    </w:p>
    <w:p>
      <w:pPr>
        <w:pStyle w:val="FirstParagraph"/>
      </w:pPr>
      <w:r>
        <w:t xml:space="preserve">Household and platform reports are given as frequencies (Tables 1 to 3). Two associations are treated as focal: home affects study very much with very high stress (two-sided Fisher’s exact test), and internet speed with the appraisal index (Spearman’s ρ, with a percentile bootstrap 95% confidence interval from 5,000 resamples). Replacement judgments are reported as frequencies. Odds ratios and Wald confidence intervals are not reported: at N = 38 they are unstable. Other associations, including gender, are secondary and are placed in Appendix B. Frequencies are n/38 unless noted. Multiple-response items are the percentage who selected the option.</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29"/>
    <w:bookmarkStart w:id="30"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w:t>
      </w:r>
    </w:p>
    <w:p>
      <w:pPr>
        <w:pStyle w:val="BodyText"/>
      </w:pPr>
      <w:r>
        <w:t xml:space="preserve">No institutional ethics approval number is available for the original 2022 data collection. The first author was then a master’s student, and numbered approval was not obtained. This article reports an anonymized secondary analysis of those completed responses. No new data were collected. Names, IP addresses, exact timestamps, and device identifiers were removed before the public dataset was prepared.</w:t>
      </w:r>
    </w:p>
    <w:bookmarkEnd w:id="30"/>
    <w:bookmarkEnd w:id="31"/>
    <w:bookmarkStart w:id="36" w:name="results"/>
    <w:p>
      <w:pPr>
        <w:pStyle w:val="Heading2"/>
      </w:pPr>
      <w:r>
        <w:t xml:space="preserve">4. Results</w:t>
      </w:r>
    </w:p>
    <w:bookmarkStart w:id="32" w:name="respondents-and-household-conditions"/>
    <w:p>
      <w:pPr>
        <w:pStyle w:val="Heading3"/>
      </w:pPr>
      <w:r>
        <w:t xml:space="preserve">4.1 Respondents and household conditions</w:t>
      </w:r>
    </w:p>
    <w:p>
      <w:pPr>
        <w:pStyle w:val="FirstParagraph"/>
      </w:pPr>
      <w:r>
        <w:t xml:space="preserve">Table 1 locates the sample. Most respondents said all of their Chinese classes were online, and more than half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reports the household and connectivity conditions. The key figures are unstable networks (76.3%), power interruptions (42.1%), and very high stress (36.8%). Four respondents said their country did not have internet, yet all 38 submitted an online form. The item wording does not allow a firm reinterpretation, so the response is reported as given. Only 11 of 38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32"/>
    <w:bookmarkStart w:id="33" w:name="platform-access"/>
    <w:p>
      <w:pPr>
        <w:pStyle w:val="Heading3"/>
      </w:pPr>
      <w:r>
        <w:t xml:space="preserve">4.2 Platform access</w:t>
      </w:r>
    </w:p>
    <w:p>
      <w:pPr>
        <w:pStyle w:val="FirstParagraph"/>
      </w:pPr>
      <w:r>
        <w:t xml:space="preserve">Table 3 shows uneven access to institutionally familiar and consumer-facing platforms. The questionnaire cannot isolate country restrictions, routing, account rules, skills, or virtual private networks. The pattern used for later discussion is that QQ and Chaoxing were frequently marked unusable, while Zoom and WhatsApp were more often marked available.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Chinese MOOC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3"/>
    <w:bookmarkStart w:id="34" w:name="stress-and-appraisals"/>
    <w:p>
      <w:pPr>
        <w:pStyle w:val="Heading3"/>
      </w:pPr>
      <w:r>
        <w:t xml:space="preserve">4.3 Stress and appraisals</w:t>
      </w:r>
    </w:p>
    <w:p>
      <w:pPr>
        <w:pStyle w:val="FirstParagraph"/>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w:t>
      </w:r>
    </w:p>
    <w:p>
      <w:pPr>
        <w:pStyle w:val="BodyText"/>
      </w:pPr>
      <w:r>
        <w:t xml:space="preserve">Worse internet speed was associated with a worse appraisal index (ρ = .65,</w:t>
      </w:r>
      <w:r>
        <w:t xml:space="preserve"> </w:t>
      </w:r>
      <w:r>
        <w:rPr>
          <w:iCs/>
          <w:i/>
        </w:rPr>
        <w:t xml:space="preserve">p</w:t>
      </w:r>
      <w:r>
        <w:t xml:space="preserve"> </w:t>
      </w:r>
      <w:r>
        <w:t xml:space="preserve">&lt; .001, percentile bootstrap 95% CI [.36, .84]; Table 4). An unvalidated post hoc count of selected infrastructure-problem options (unstable network, power interruptions, no signal) was not associated with the index (ρ = .02). That count is not interpreted as evidence against the role of infrastructure.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uncommon (6 of 38). Preferred live length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 and 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4"/>
    <w:bookmarkStart w:id="35" w:name="replacement-judgments"/>
    <w:p>
      <w:pPr>
        <w:pStyle w:val="Heading3"/>
      </w:pPr>
      <w:r>
        <w:t xml:space="preserve">4.4 Replacement judgments</w:t>
      </w:r>
    </w:p>
    <w:p>
      <w:pPr>
        <w:pStyle w:val="FirstParagraph"/>
      </w:pPr>
      <w:r>
        <w:t xml:space="preserve">Nineteen of 38 said online study could replace campus classes, and 19 said it could not. The form was split. That count is reported here because the item was on the questionnaire. It is not treated as a test of gender or of household type.</w:t>
      </w:r>
    </w:p>
    <w:bookmarkEnd w:id="35"/>
    <w:bookmarkEnd w:id="36"/>
    <w:bookmarkStart w:id="37" w:name="discussion"/>
    <w:p>
      <w:pPr>
        <w:pStyle w:val="Heading2"/>
      </w:pPr>
      <w:r>
        <w:t xml:space="preserve">5. Discussion</w:t>
      </w:r>
    </w:p>
    <w:p>
      <w:pPr>
        <w:pStyle w:val="FirstParagraph"/>
      </w:pPr>
      <w:r>
        <w:t xml:space="preserve">The data show the difficulties the field has named, networks, platforms, interaction, and strain, as learner-side reports in this sample.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Both tests are exploratory. They do not prove that the household caused stress or that speed caused a worse view of the class. They do show that those answers travelled together in these 38 rows.</w:t>
      </w:r>
    </w:p>
    <w:p>
      <w:pPr>
        <w:pStyle w:val="BodyText"/>
      </w:pPr>
      <w:r>
        <w:t xml:space="preserve">Xu et al. (2022) show how character teaching was adapted on the sending side. Zhang and Liu (2023) show designed online Chinese work. The present data add the home and platform conditions the 38 respondents marked. A better textbook would not, by itself, have answered a live session on an unstable connection, or a required application that they marked unusable.</w:t>
      </w:r>
    </w:p>
    <w:p>
      <w:pPr>
        <w:pStyle w:val="BodyText"/>
      </w:pPr>
      <w:r>
        <w:t xml:space="preserve">QQ, Chaoxing, DingTalk, and Chinese MOOC were often marked unusable, while Zoom and WhatsApp were more often marked available. The items cannot separate country restrictions, routing, account rules, skills, or virtual private networks. They can show that a single required toolkit was not equally marked as usable in this sample.</w:t>
      </w:r>
    </w:p>
    <w:bookmarkEnd w:id="37"/>
    <w:bookmarkStart w:id="42" w:name="pedagogical-implications"/>
    <w:p>
      <w:pPr>
        <w:pStyle w:val="Heading2"/>
      </w:pPr>
      <w:r>
        <w:t xml:space="preserve">6. Pedagogical implications</w:t>
      </w:r>
    </w:p>
    <w:p>
      <w:pPr>
        <w:pStyle w:val="FirstParagraph"/>
      </w:pPr>
      <w:r>
        <w:t xml:space="preserve">In this sample, the questionnaire can support only a small set of classroom decisions.</w:t>
      </w:r>
    </w:p>
    <w:bookmarkStart w:id="38" w:name="platform-selection"/>
    <w:p>
      <w:pPr>
        <w:pStyle w:val="Heading3"/>
      </w:pPr>
      <w:r>
        <w:t xml:space="preserve">Platform selection</w:t>
      </w:r>
    </w:p>
    <w:p>
      <w:pPr>
        <w:pStyle w:val="FirstParagraph"/>
      </w:pPr>
      <w:r>
        <w:t xml:space="preserve">Because QQ and Chaoxing were frequently marked unusable (Table 3), a program should not treat the sending-side toolkit as given. Before it requires a platform, it has to ask whether learners can open it where they sit, and it has to name a usable alternative. WhatsApp was marked available here, but it was not recorded as used for class, so the data do not recommend it as a replacement.</w:t>
      </w:r>
    </w:p>
    <w:bookmarkEnd w:id="38"/>
    <w:bookmarkStart w:id="39" w:name="assessment-modes"/>
    <w:p>
      <w:pPr>
        <w:pStyle w:val="Heading3"/>
      </w:pPr>
      <w:r>
        <w:t xml:space="preserve">Assessment modes</w:t>
      </w:r>
    </w:p>
    <w:p>
      <w:pPr>
        <w:pStyle w:val="FirstParagraph"/>
      </w:pPr>
      <w:r>
        <w:t xml:space="preserve">Because only 28.9% described the home as quiet, 42.1% reported power interruptions, and 76.3% reported unstable networks (Table 2), institutions should not treat a live oral hour as the only assessable performance. Assessment that assumes a quiet, continuous campus hour will mark some of those conditions as learner failure.</w:t>
      </w:r>
    </w:p>
    <w:bookmarkEnd w:id="39"/>
    <w:bookmarkStart w:id="40" w:name="live-session-duration"/>
    <w:p>
      <w:pPr>
        <w:pStyle w:val="Heading3"/>
      </w:pPr>
      <w:r>
        <w:t xml:space="preserve">Live session duration</w:t>
      </w:r>
    </w:p>
    <w:p>
      <w:pPr>
        <w:pStyle w:val="FirstParagraph"/>
      </w:pPr>
      <w:r>
        <w:t xml:space="preserve">Preferred live length here was 45 minutes for half of the respondents and 30 minutes for 28.9%. One open comment said that even one minute online was</w:t>
      </w:r>
      <w:r>
        <w:t xml:space="preserve"> </w:t>
      </w:r>
      <w:r>
        <w:t xml:space="preserve">“</w:t>
      </w:r>
      <w:r>
        <w:t xml:space="preserve">not suitable.</w:t>
      </w:r>
      <w:r>
        <w:t xml:space="preserve">”</w:t>
      </w:r>
      <w:r>
        <w:t xml:space="preserve"> </w:t>
      </w:r>
      <w:r>
        <w:t xml:space="preserve">A shorter live slot or an asynchronous oral alternative is the suggestion the data can support.</w:t>
      </w:r>
    </w:p>
    <w:bookmarkEnd w:id="40"/>
    <w:bookmarkStart w:id="41" w:name="collecting-access-data"/>
    <w:p>
      <w:pPr>
        <w:pStyle w:val="Heading3"/>
      </w:pPr>
      <w:r>
        <w:t xml:space="preserve">Collecting access data</w:t>
      </w:r>
    </w:p>
    <w:p>
      <w:pPr>
        <w:pStyle w:val="FirstParagraph"/>
      </w:pPr>
      <w:r>
        <w:t xml:space="preserve">The form shows household and access conditions. It does not show how institutions adapted. Those conditions should be collected as part of course design, not after complaints.</w:t>
      </w:r>
    </w:p>
    <w:p>
      <w:pPr>
        <w:pStyle w:val="BodyText"/>
      </w:pPr>
      <w:r>
        <w:t xml:space="preserve">These suggestions are bound to this sample. They are not a national policy, and they are not evidence that later hybrid teaching has repeated this pattern (Stockwell &amp; Wang, 2023).</w:t>
      </w:r>
    </w:p>
    <w:bookmarkEnd w:id="41"/>
    <w:bookmarkEnd w:id="42"/>
    <w:bookmarkStart w:id="43"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were not recorded, so all outcomes are self-report from a convenience group whose enrollment was not independently verified. The data are from February 2022 and concern emergency remote teaching; they are not evidence about current hybrid education. The appraisal index is descriptive rather than a validated scale, the infrastructure-problem count is an unvalidated post hoc indicator, the form did not measure institutional adaptation, IP metadata are not a location measure, and no ethics-committee number is available for the 2022 collection (Section 3.5).</w:t>
      </w:r>
    </w:p>
    <w:bookmarkEnd w:id="43"/>
    <w:bookmarkStart w:id="44" w:name="conclusion"/>
    <w:p>
      <w:pPr>
        <w:pStyle w:val="Heading2"/>
      </w:pPr>
      <w:r>
        <w:t xml:space="preserve">8. Conclusion</w:t>
      </w:r>
    </w:p>
    <w:p>
      <w:pPr>
        <w:pStyle w:val="FirstParagraph"/>
      </w:pPr>
      <w:r>
        <w:t xml:space="preserve">This study used questionnaire data from 38 respondents who reported online Chinese study. Unstable networks, power interruptions, and uneven platform access were common in the sample. Home conditions that</w:t>
      </w:r>
      <w:r>
        <w:t xml:space="preserve"> </w:t>
      </w:r>
      <w:r>
        <w:t xml:space="preserve">“</w:t>
      </w:r>
      <w:r>
        <w:t xml:space="preserve">affected study very much</w:t>
      </w:r>
      <w:r>
        <w:t xml:space="preserve">”</w:t>
      </w:r>
      <w:r>
        <w:t xml:space="preserve"> </w:t>
      </w:r>
      <w:r>
        <w:t xml:space="preserve">co-occurred with</w:t>
      </w:r>
      <w:r>
        <w:t xml:space="preserve"> </w:t>
      </w:r>
      <w:r>
        <w:t xml:space="preserve">“</w:t>
      </w:r>
      <w:r>
        <w:t xml:space="preserve">very high stress,</w:t>
      </w:r>
      <w:r>
        <w:t xml:space="preserve">”</w:t>
      </w:r>
      <w:r>
        <w:t xml:space="preserve"> </w:t>
      </w:r>
      <w:r>
        <w:t xml:space="preserve">and worse reported speed went with a more negative appraisal of online learning. Online Chinese teaching is not only a content problem. In these data it is also a delivery problem.</w:t>
      </w:r>
    </w:p>
    <w:bookmarkEnd w:id="44"/>
    <w:bookmarkStart w:id="45" w:name="appendix-a.-appraisal-items-and-coding"/>
    <w:p>
      <w:pPr>
        <w:pStyle w:val="Heading2"/>
      </w:pPr>
      <w:r>
        <w:t xml:space="preserve">Appendix A. Appraisal items and coding</w:t>
      </w:r>
    </w:p>
    <w:p>
      <w:pPr>
        <w:pStyle w:val="FirstParagraph"/>
      </w:pPr>
      <w:r>
        <w:t xml:space="preserve">English glosses of the item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5"/>
    <w:bookmarkStart w:id="46" w:name="appendix-b.-secondary-statistics"/>
    <w:p>
      <w:pPr>
        <w:pStyle w:val="Heading2"/>
      </w:pPr>
      <w:r>
        <w:t xml:space="preserve">Appendix B. Secondary statistics</w:t>
      </w:r>
    </w:p>
    <w:p>
      <w:pPr>
        <w:pStyle w:val="FirstParagraph"/>
      </w:pPr>
      <w:r>
        <w:t xml:space="preserve">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6"/>
    <w:bookmarkStart w:id="47"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bookmarkEnd w:id="47"/>
    <w:bookmarkEnd w:id="4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2026-08-24T05:59:28Z</dcterms:created>
  <dcterms:modified xsi:type="dcterms:W3CDTF">2026-08-24T05:59:28Z</dcterms:modified>
</cp:coreProperties>
</file>

<file path=docProps/custom.xml><?xml version="1.0" encoding="utf-8"?>
<Properties xmlns="http://schemas.openxmlformats.org/officeDocument/2006/custom-properties" xmlns:vt="http://schemas.openxmlformats.org/officeDocument/2006/docPropsVTypes"/>
</file>