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An online Chinese course can keep its original hours, platforms, oral tasks, and assessment, and still be a course learners cannot take. When language teaching is moved online, programmes commonly retain the timetable and classroom tasks of the sending class (Gacs et al., 2020; Hodges et al., 2020; Stockwell &amp; Wang, 2023). Guides to online language work still assume that learners can join a live or collaborative session (González-Lloret, 2020; Payne, 2020). That assumption does not hold where networks are unstable, required platforms are hard to open, interaction thins out, or learners are under strain (Li &amp; Li, 2024; Moser et al., 2021; Qi, 2025; Russell, 2020; Tao &amp; Gao, 2022). Digital-inequality research has already shown that owning a device is not the same as being able to take part: household internet, shared equipment, and electricity interruptions close online classes even when the materials remain available (Ali, 2020; Beaunoyer et al., 2020; Guo &amp; Wan, 2022; Vishnu et al., 2024; Warschauer, 2003). Distance language learning had raised the same feasibility question before the pandemic (White, 2006). If household power, network speed, or platform access does not support the required class, the content may remain appropriate while the class is closed. That is a delivery problem, not a content problem.</w:t>
      </w:r>
    </w:p>
    <w:p>
      <w:pPr>
        <w:pStyle w:val="BodyText"/>
      </w:pPr>
      <w:r>
        <w:t xml:space="preserve">The difficulty is not that the field has never named these failures. It is that it has usually treated them as background to something else. Emergency remote teaching made the problem urgent, but much of that writing documented teacher workload, sending-side pedagogical adaptation, or a videoconference copy of the campus hour (MacIntyre et al., 2020; Moser et al., 2021; Xu et al., 2022). Later work on technological normalisation asked what should remain of emergency practice and warned against treating that copy as the lesson of the crisis (Moorhouse, 2023; Moorhouse, Wong, &amp; Li, 2023; Stockwell &amp; Wang, 2023). Reviews of online international Chinese teaching, and of technology in Chinese as a foreign language, still list technical trouble and still leave digital equity and household access under-examined (Li &amp; Li, 2024; Xu, 2024; Zhang &amp; Osborne, 2026). Designed online courses and studies of learner emotion show what planned online Chinese teaching can look like (Guenier et al., 2026; Qi, 2025; Wen &amp; Liu, 2025). They do not tell us whether a</w:t>
      </w:r>
      <w:r>
        <w:t xml:space="preserve"> </w:t>
      </w:r>
      <w:r>
        <w:rPr>
          <w:iCs/>
          <w:i/>
        </w:rPr>
        <w:t xml:space="preserve">travelling course</w:t>
      </w:r>
      <w:r>
        <w:t xml:space="preserve">—this article’s term, from Gacs et al. (2020), for a course designed in one institutional setting and taught in another—remained feasible where learners actually sat.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What is missing, then, is not another map of online-teaching models. It is learner-side evidence on the conditions that decide whether the class can be taken at all. International Chinese language education has said more about what a course</w:t>
      </w:r>
      <w:r>
        <w:t xml:space="preserve"> </w:t>
      </w:r>
      <w:r>
        <w:rPr>
          <w:iCs/>
          <w:i/>
        </w:rPr>
        <w:t xml:space="preserve">says</w:t>
      </w:r>
      <w:r>
        <w:t xml:space="preserve">—its examples, cultural content, and materials—than about whether an online Chinese course can still be</w:t>
      </w:r>
      <w:r>
        <w:t xml:space="preserve"> </w:t>
      </w:r>
      <w:r>
        <w:rPr>
          <w:iCs/>
          <w:i/>
        </w:rPr>
        <w:t xml:space="preserve">taken</w:t>
      </w:r>
      <w:r>
        <w:t xml:space="preserve"> </w:t>
      </w:r>
      <w:r>
        <w:t xml:space="preserve">(Gong et al., 2020b; Lu et al., 2024; Ma et al., 2017; McDonough &amp; Shaw, 2003; Tomlinson, 2011; Zhao, 2020). Language, culture, and curriculum meet in the setting of the class as well as in the textbook (Guerrettaz et al., 2021; van Lier, 2004). Student questionnaires in this journal already treat curriculum as something learners experience, not only something programmes announce (Lam, 2024; Shan &amp; Xu, 2024; Zhang &amp; Pladevall-Ballester, 2021). That is the professional move this study makes. A Chinese-language questionnaire asked a self-selected group of respondents reporting participation in online Chinese-language courses what household, connectivity, and platform-access conditions they faced, and how those conditions sat alongside stress and appraisals of online learning. The instrument cannot show how institutions adapted time, platform, task, participation mode, or assessment. It can show the learner-side conditions against which those arrangements have to be judged.</w:t>
      </w:r>
    </w:p>
    <w:p>
      <w:pPr>
        <w:pStyle w:val="BodyText"/>
      </w:pPr>
      <w:r>
        <w:t xml:space="preserve">The analysis draws on 38 complete responses collected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on university e-learning and digital access in Pakistan is therefore used only as contextual background for the nationality reported by most respondents (Butt &amp; Sadaf, 2026; Jamil &amp; Muschert, 2023; Raza &amp; Hennessy, 2025;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The article does not ask whether institutions later solved the problem of online Chinese teaching, and it does not ask whether current hybrid practice has solved it. It asks whether the delivery problem is visible as learner-side conditions in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establish that, in this sample, online Chinese teaching is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Later reviews of technology in Chinese as a foreign language map acceptance, collaboration, and teacher knowledge more often than household access (Xu, 2024), and a review of digital transformation in the same field still flags digital equity as under-examined (Zhang &amp; Osborne, 2026). Reviews of online teaching models continue to list technical problems, weak interaction, and time-zone difficulty (Li &amp; Li, 2024). Designed online Chinese-culture courses show a planned alternative to emergency copying (Guenier et al., 2026). Learner emotion in Chinese as an additional language is already a topic in this journal (Wen &amp; Liu, 2025), and Qi (2025) shows that an online Chinese class can itself become an anxiety-provoking setting. Those studies do not describe the present respondents or the present stress item. They supply the later lenses.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Vishnu et al. (2024) treat digital infrastructure as a condition of higher-education online learning after the emergency period, not as a temporary inconvenience. Interview research on Pakistani university e-learning during COVID-19 found uneven first-level access (internet and devices) and second-level skills, with rural and less-resourced students more exposed (Jamil &amp; Muschert, 2023). Later survey work continues to report uneven access and skills among Pakistani university students (Butt &amp; Sadaf, 2026). Household use of educational technology is also shaped by device sharing, care work, and electricity (Raza &amp; Hennessy, 2025). The last of those sources is a grey-literature report. None of them is treated as evidence about the 38 respondents here; they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M., &amp; Pladevall-Ballester, E. (2021). Students’ attitudes and perceptions towards three EMI courses in mainland China.</w:t>
      </w:r>
      <w:r>
        <w:t xml:space="preserve"> </w:t>
      </w:r>
      <w:r>
        <w:rPr>
          <w:iCs/>
          <w:i/>
        </w:rPr>
        <w:t xml:space="preserve">Language, Culture and Curriculum, 35</w:t>
      </w:r>
      <w:r>
        <w:t xml:space="preserve">(2), 200-216. https://doi.org/10.1080/07908318.2021.1979576</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2026-08-23T10:50:52Z</dcterms:created>
  <dcterms:modified xsi:type="dcterms:W3CDTF">2026-08-23T10:50:52Z</dcterms:modified>
</cp:coreProperties>
</file>

<file path=docProps/custom.xml><?xml version="1.0" encoding="utf-8"?>
<Properties xmlns="http://schemas.openxmlformats.org/officeDocument/2006/custom-properties" xmlns:vt="http://schemas.openxmlformats.org/officeDocument/2006/docPropsVTypes"/>
</file>