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Household infrastructure and platform access in online Chinese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examines a delivery problem in online Chinese teaching: a course may remain appropriate in content and still be difficult to take if its timetable, platforms, tasks, and assessment do not fit the conditions in which learners participate. It reads an exploratory questionnaire (N = 38) through later work on technological normalisation, online ICLE, and designed online Chinese teaching.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2026-08-23T10:50:52Z</dcterms:created>
  <dcterms:modified xsi:type="dcterms:W3CDTF">2026-08-23T10:50:52Z</dcterms:modified>
</cp:coreProperties>
</file>

<file path=docProps/custom.xml><?xml version="1.0" encoding="utf-8"?>
<Properties xmlns="http://schemas.openxmlformats.org/officeDocument/2006/custom-properties" xmlns:vt="http://schemas.openxmlformats.org/officeDocument/2006/docPropsVTypes"/>
</file>