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c2030a6abbb01e5f8d1dabdee28fe1e01100d80"/>
    <w:p>
      <w:pPr>
        <w:pStyle w:val="Heading1"/>
      </w:pPr>
      <w:r>
        <w:t xml:space="preserve">Household infrastructure and platform access in online Chinese teaching</w:t>
      </w:r>
    </w:p>
    <w:p>
      <w:pPr>
        <w:pStyle w:val="FirstParagraph"/>
      </w:pPr>
      <w:r>
        <w:rPr>
          <w:bCs/>
          <w:b/>
        </w:rPr>
        <w:t xml:space="preserve">Short title:</w:t>
      </w:r>
      <w:r>
        <w:t xml:space="preserve"> </w:t>
      </w:r>
      <w:r>
        <w:t xml:space="preserve">Online Chinese teaching: household and platform access</w:t>
      </w:r>
    </w:p>
    <w:bookmarkStart w:id="20" w:name="abstract"/>
    <w:p>
      <w:pPr>
        <w:pStyle w:val="Heading2"/>
      </w:pPr>
      <w:r>
        <w:t xml:space="preserve">Abstract</w:t>
      </w:r>
    </w:p>
    <w:p>
      <w:pPr>
        <w:pStyle w:val="FirstParagraph"/>
      </w:pPr>
      <w:r>
        <w:t xml:space="preserve">This article examines a delivery problem in online Chinese teaching: a course may remain appropriate in content and still be difficult to take if its timetable, platforms, oral tasks, and assessment do not fit the conditions in which learners participate. A Chinese-language questionnaire asked 38 self-selected respondents—37 of whom selected Pakistani nationality—what household, connectivity, and platform-access conditions they faced, and how those conditions sat alongside stress and appraisals of online learning. The responses are read through later work on technological normalisation, online ICLE, and designed online Chinese teaching. Unstable networks (76.3%) and power interruptions (42.1%) were commonly reported, and 36.8% selected</w:t>
      </w:r>
      <w:r>
        <w:t xml:space="preserve"> </w:t>
      </w:r>
      <w:r>
        <w:t xml:space="preserve">“</w:t>
      </w:r>
      <w:r>
        <w:t xml:space="preserve">very high stress.</w:t>
      </w:r>
      <w:r>
        <w:t xml:space="preserve">”</w:t>
      </w:r>
      <w:r>
        <w:t xml:space="preserve"> </w:t>
      </w:r>
      <w:r>
        <w:t xml:space="preserve">Those who said home conditions affected study</w:t>
      </w:r>
      <w:r>
        <w:t xml:space="preserve"> </w:t>
      </w:r>
      <w:r>
        <w:t xml:space="preserve">“</w:t>
      </w:r>
      <w:r>
        <w:t xml:space="preserve">very much</w:t>
      </w:r>
      <w:r>
        <w:t xml:space="preserve">”</w:t>
      </w:r>
      <w:r>
        <w:t xml:space="preserve"> </w:t>
      </w:r>
      <w:r>
        <w:t xml:space="preserve">more often selected that category (11/14 versus 3/24; Fisher’s exact (p = .00008)). Worse reported internet speed was associated with a more negative appraisal of online learning ((</w:t>
      </w:r>
      <w:r>
        <w:t xml:space="preserve">= .65), 95% bootstrap CI ([.36, .84])). QQ and Chaoxing were frequently marked unusable; Zoom and WhatsApp were more often marked available. In this sample, online Chinese teaching was a delivery problem. The results are exploratory and are not read as evidence of current hybrid practice.</w:t>
      </w:r>
    </w:p>
    <w:p>
      <w:pPr>
        <w:pStyle w:val="BodyText"/>
      </w:pPr>
      <w:r>
        <w:rPr>
          <w:bCs/>
          <w:b/>
        </w:rPr>
        <w:t xml:space="preserve">Keywords:</w:t>
      </w:r>
      <w:r>
        <w:t xml:space="preserve"> </w:t>
      </w:r>
      <w:r>
        <w:t xml:space="preserve">online Chinese teaching; household infrastructure; platform access; digital inequality; emergency remote teaching; Pakistan</w:t>
      </w:r>
    </w:p>
    <w:bookmarkEnd w:id="20"/>
    <w:bookmarkStart w:id="21" w:name="introduction"/>
    <w:p>
      <w:pPr>
        <w:pStyle w:val="Heading2"/>
      </w:pPr>
      <w:r>
        <w:t xml:space="preserve">1. Introduction</w:t>
      </w:r>
    </w:p>
    <w:p>
      <w:pPr>
        <w:pStyle w:val="FirstParagraph"/>
      </w:pPr>
      <w:r>
        <w:t xml:space="preserve">An online Chinese course can keep its original hours, platforms, oral tasks, and assessment, and still be a course learners cannot take. When language teaching is moved online, programmes commonly retain the timetable and classroom tasks of the sending class (Gacs et al., 2020; Hodges et al., 2020; Stockwell &amp; Wang, 2023). Guides to online language work still assume that learners can join a live or collaborative session (González-Lloret, 2020; Payne, 2020). That assumption does not hold where networks are unstable, required platforms are hard to open, interaction thins out, or learners are under strain (Li &amp; Li, 2024; Moser et al., 2021; Qi, 2025; Russell, 2020; Tao &amp; Gao, 2022). Digital-inequality research has already shown that owning a device is not the same as being able to take part: household internet, shared equipment, and electricity interruptions close online classes even when the materials remain available (Ali, 2020; Beaunoyer et al., 2020; Guo &amp; Wan, 2022; Vishnu et al., 2024; Warschauer, 2003). Distance language learning had raised the same feasibility question before the pandemic (White, 2006). If household power, network speed, or platform access does not support the required class, the content may remain appropriate while the class is closed. That is a delivery problem, not a content problem.</w:t>
      </w:r>
    </w:p>
    <w:p>
      <w:pPr>
        <w:pStyle w:val="BodyText"/>
      </w:pPr>
      <w:r>
        <w:t xml:space="preserve">The difficulty is not that the field has never named these failures. It is that it has usually treated them as background to something else. Emergency remote teaching made the problem urgent, but much of that writing documented teacher workload, sending-side pedagogical adaptation, or a videoconference copy of the campus hour (MacIntyre et al., 2020; Moser et al., 2021; Xu et al., 2022). Later work on technological normalisation asked what should remain of emergency practice and warned against treating that copy as the lesson of the crisis (Moorhouse, 2023; Moorhouse, Wong, &amp; Li, 2023; Stockwell &amp; Wang, 2023). Reviews of online international Chinese teaching, and of technology in Chinese as a foreign language, still list technical trouble and still leave digital equity and household access under-examined (Li &amp; Li, 2024; Xu, 2024; Zhang &amp; Osborne, 2026). Designed online courses and studies of learner emotion show what planned online Chinese teaching can look like (Guenier et al., 2026; Qi, 2025; Wen &amp; Liu, 2025). They do not tell us whether a</w:t>
      </w:r>
      <w:r>
        <w:t xml:space="preserve"> </w:t>
      </w:r>
      <w:r>
        <w:rPr>
          <w:iCs/>
          <w:i/>
        </w:rPr>
        <w:t xml:space="preserve">travelling course</w:t>
      </w:r>
      <w:r>
        <w:t xml:space="preserve">—this article’s term, from Gacs et al. (2020), for a course designed in one institutional setting and taught in another—remained feasible where learners actually sat. Time-zone difference and the absence of a Chinese-speaking environment have also been listed as field problems. The present questionnaire did not measure them, so they are left aside. The study also does not treat respondents as students who had returned home or who were unable to re-enter campus. Those were common emergency-period situations; they are not established facts in this dataset.</w:t>
      </w:r>
    </w:p>
    <w:p>
      <w:pPr>
        <w:pStyle w:val="BodyText"/>
      </w:pPr>
      <w:r>
        <w:t xml:space="preserve">What is missing, then, is not another map of online-teaching models. It is learner-side evidence on the conditions that decide whether the class can be taken at all. International Chinese language education has said more about what a course</w:t>
      </w:r>
      <w:r>
        <w:t xml:space="preserve"> </w:t>
      </w:r>
      <w:r>
        <w:rPr>
          <w:iCs/>
          <w:i/>
        </w:rPr>
        <w:t xml:space="preserve">says</w:t>
      </w:r>
      <w:r>
        <w:t xml:space="preserve">—its examples, cultural content, and materials—than about whether an online Chinese course can still be</w:t>
      </w:r>
      <w:r>
        <w:t xml:space="preserve"> </w:t>
      </w:r>
      <w:r>
        <w:rPr>
          <w:iCs/>
          <w:i/>
        </w:rPr>
        <w:t xml:space="preserve">taken</w:t>
      </w:r>
      <w:r>
        <w:t xml:space="preserve"> </w:t>
      </w:r>
      <w:r>
        <w:t xml:space="preserve">(Gong et al., 2020b; Lu et al., 2024; Ma et al., 2017; McDonough &amp; Shaw, 2003; Tomlinson, 2011; Zhao, 2020). Language, culture, and curriculum meet in the setting of the class as well as in the textbook (Guerrettaz et al., 2021; van Lier, 2004). Student questionnaires in this journal already treat curriculum as something learners experience, not only something programmes announce (Lam, 2024; Shan &amp; Xu, 2024; Zhang &amp; Pladevall-Ballester, 2021). That is the professional move this study makes. A Chinese-language questionnaire asked a self-selected group of respondents reporting participation in online Chinese-language courses what household, connectivity, and platform-access conditions they faced, and how those conditions sat alongside stress and appraisals of online learning. The instrument cannot show how institutions adapted time, platform, task, participation mode, or assessment. It can show the learner-side conditions against which those arrangements have to be judged.</w:t>
      </w:r>
    </w:p>
    <w:p>
      <w:pPr>
        <w:pStyle w:val="BodyText"/>
      </w:pPr>
      <w:r>
        <w:t xml:space="preserve">The analysis draws on 38 complete responses collected during emergency remote teaching. Thirty-seven respondents selected Pakistani nationality, while one selected another nationality. Nationality is the only Pakistan connection established in the dataset; residence, recruitment pathway, institutional affiliation, programme status, and physical location were not verified. Literature on Pakistani educational mobility and on university e-learning and digital access in Pakistan is therefore used only as contextual background for the nationality reported by most respondents (Butt &amp; Sadaf, 2026; Jamil &amp; Muschert, 2023; Raza &amp; Hennessy, 2025; Tu, 2026). Twenty-seven respondents (71.1%) reported taking required courses online, while 23 (60.5%) reported taking elective courses online. The findings from this self-selected group are treated as exploratory rather than representative. Much of the research on international students of Chinese has examined learners already on a Chinese campus (Gao &amp; Hua, 2021; Gong et al., 2020a); this sample cannot be read as that population.</w:t>
      </w:r>
    </w:p>
    <w:p>
      <w:pPr>
        <w:pStyle w:val="BodyText"/>
      </w:pPr>
      <w:r>
        <w:t xml:space="preserve">The article does not ask whether institutions later solved the problem of online Chinese teaching, and it does not ask whether current hybrid practice has solved it. It asks whether the delivery problem is visible as learner-side conditions in this sample:</w:t>
      </w:r>
    </w:p>
    <w:p>
      <w:pPr>
        <w:numPr>
          <w:ilvl w:val="0"/>
          <w:numId w:val="1001"/>
        </w:numPr>
        <w:pStyle w:val="Compact"/>
      </w:pPr>
      <w:r>
        <w:t xml:space="preserve">What household, connectivity, and platform-access conditions did respondents report?</w:t>
      </w:r>
    </w:p>
    <w:p>
      <w:pPr>
        <w:numPr>
          <w:ilvl w:val="0"/>
          <w:numId w:val="1001"/>
        </w:numPr>
        <w:pStyle w:val="Compact"/>
      </w:pPr>
      <w:r>
        <w:t xml:space="preserve">In this sample, how were reported household and connectivity conditions associated with selecting</w:t>
      </w:r>
      <w:r>
        <w:t xml:space="preserve"> </w:t>
      </w:r>
      <w:r>
        <w:t xml:space="preserve">“</w:t>
      </w:r>
      <w:r>
        <w:t xml:space="preserve">very high stress</w:t>
      </w:r>
      <w:r>
        <w:t xml:space="preserve">”</w:t>
      </w:r>
      <w:r>
        <w:t xml:space="preserve"> </w:t>
      </w:r>
      <w:r>
        <w:t xml:space="preserve">and with respondents’ appraisals of online learning?</w:t>
      </w:r>
    </w:p>
    <w:p>
      <w:pPr>
        <w:numPr>
          <w:ilvl w:val="0"/>
          <w:numId w:val="1001"/>
        </w:numPr>
        <w:pStyle w:val="Compact"/>
      </w:pPr>
      <w:r>
        <w:t xml:space="preserve">How did respondents judge whether online Chinese-language courses could replace campus-based classes?</w:t>
      </w:r>
    </w:p>
    <w:p>
      <w:pPr>
        <w:pStyle w:val="FirstParagraph"/>
      </w:pPr>
      <w:r>
        <w:t xml:space="preserve">Those answers are used to establish that, in this sample, online Chinese teaching is a delivery problem: content and materials work cannot settle it on their own. Counts are used descriptively. Associations are explored with Fisher’s exact tests and Spearman rank correlations and are not read as confirmatory tests of population-level relationships. Section 2 locates the study in later work on online language teaching and online ICLE, and in digital inequality and home learning ecologies. Section 3 reports when and how the questionnaire was completed. Sections 4 and 5 report and discuss the findings, and the final sections set out implications, limitations, and the article’s answer.</w:t>
      </w:r>
    </w:p>
    <w:bookmarkEnd w:id="21"/>
    <w:bookmarkStart w:id="26" w:name="Xa71efe292272ba0d775f88aaa92c3e49c1e1383"/>
    <w:p>
      <w:pPr>
        <w:pStyle w:val="Heading2"/>
      </w:pPr>
      <w:r>
        <w:t xml:space="preserve">2. Literature review and conceptual framework</w:t>
      </w:r>
    </w:p>
    <w:bookmarkStart w:id="22" w:name="later-lenses-on-online-chinese-teaching"/>
    <w:p>
      <w:pPr>
        <w:pStyle w:val="Heading3"/>
      </w:pPr>
      <w:r>
        <w:t xml:space="preserve">2.1 Later lenses on online Chinese teaching</w:t>
      </w:r>
    </w:p>
    <w:p>
      <w:pPr>
        <w:pStyle w:val="FirstParagraph"/>
      </w:pPr>
      <w:r>
        <w:t xml:space="preserve">Hodges et al. (2020) drew a useful line between emergency remote teaching and planned online or blended provision. Gacs, Goertler and Spasova (2020) brought that distinction into language education. Bond et al. (2021) mapped that first global online semester, and Adedoyin and Soykan (2020) summarised the infrastructural as well as pedagogical strain. Surveys of language teachers from the same period describe heavier workloads, stress, and uneven preparedness once teaching moved online (MacIntyre et al., 2020; Moorhouse &amp; Kohnke, 2021; Moser et al., 2021). Tao and Gao (2022) read the wider literature as a story of technical disruption, thinner engagement, and the need for language-specific support. Russell (2020) treats language anxiety as a condition of the online learner, and Lomicka (2020) treats interaction as a problem of virtual community rather than of a copied campus hour. That work locates the moment in which the present questionnaire was completed. It is not used as a substitute for the stress reports in this sample, and it is not the lens through which the problem is now read.</w:t>
      </w:r>
    </w:p>
    <w:p>
      <w:pPr>
        <w:pStyle w:val="BodyText"/>
      </w:pPr>
      <w:r>
        <w:t xml:space="preserve">The later literature is. After the return to campus, studies of technological normalisation asked what should remain of emergency online practice (Moorhouse, 2023; Moorhouse, Wong, &amp; Li, 2023) and cautioned against treating a videoconference copy of the classroom as the main lesson of the crisis (Stockwell &amp; Wang, 2023). For Chinese, contemporaneous accounts recorded the policy of</w:t>
      </w:r>
      <w:r>
        <w:t xml:space="preserve"> </w:t>
      </w:r>
      <w:r>
        <w:t xml:space="preserve">“</w:t>
      </w:r>
      <w:r>
        <w:t xml:space="preserve">suspending classes without stopping learning</w:t>
      </w:r>
      <w:r>
        <w:t xml:space="preserve">”</w:t>
      </w:r>
      <w:r>
        <w:t xml:space="preserve"> </w:t>
      </w:r>
      <w:r>
        <w:t xml:space="preserve">and early platform trials (Xia et al., 2022; Zhang et al., 2020). That writing already listed the same cluster of difficulties that still organise this article: networks, platforms, interaction, and learner affect. Xu et al. (2022) show how character teaching was adapted on the sending side. Jin et al. (2023) report world-language faculty perceptions of pandemic online teaching. Zhang and Liu (2023) examine online collaborative writing among Chinese-language learners in designed synchronous and asynchronous conditions, which is planned online work rather than a copy of the campus hour. Later reviews of technology in Chinese as a foreign language map acceptance, collaboration, and teacher knowledge more often than household access (Xu, 2024), and a review of digital transformation in the same field still flags digital equity as under-examined (Zhang &amp; Osborne, 2026). Reviews of online teaching models continue to list technical problems, weak interaction, and time-zone difficulty (Li &amp; Li, 2024). Designed online Chinese-culture courses show a planned alternative to emergency copying (Guenier et al., 2026). Learner emotion in Chinese as an additional language is already a topic in this journal (Wen &amp; Liu, 2025), and Qi (2025) shows that an online Chinese class can itself become an anxiety-provoking setting. Those studies do not describe the present respondents or the present stress item. They supply the later lenses. Much of that writing still assumes a relatively stable connection. The present questionnaire cannot test whether that assumption holds for current hybrid ICLE. It can show, under the later lens of delivery-context fit, what 38 respondents reported when online Chinese teaching asked them to join a travelling course.</w:t>
      </w:r>
    </w:p>
    <w:bookmarkEnd w:id="22"/>
    <w:bookmarkStart w:id="23" w:name="X8fd0326383b50249221392c76a6b8ab8b037526"/>
    <w:p>
      <w:pPr>
        <w:pStyle w:val="Heading3"/>
      </w:pPr>
      <w:r>
        <w:t xml:space="preserve">2.2 Digital inequality and the home learning ecology</w:t>
      </w:r>
    </w:p>
    <w:p>
      <w:pPr>
        <w:pStyle w:val="FirstParagraph"/>
      </w:pPr>
      <w:r>
        <w:t xml:space="preserve">Later models of the digital divide distinguish motivational, material, skills, usage, and outcome access (Helsper, 2021; van Dijk, 2020; Warschauer, 2003). Owning a device is not the same as being able to take part (Ali, 2020; Beaunoyer et al., 2020). Guo and Wan (2022) document that divide in online learning in China. Vishnu et al. (2024) treat digital infrastructure as a condition of higher-education online learning after the emergency period, not as a temporary inconvenience. Interview research on Pakistani university e-learning during COVID-19 found uneven first-level access (internet and devices) and second-level skills, with rural and less-resourced students more exposed (Jamil &amp; Muschert, 2023). Later survey work continues to report uneven access and skills among Pakistani university students (Butt &amp; Sadaf, 2026). Household use of educational technology is also shaped by device sharing, care work, and electricity (Raza &amp; Hennessy, 2025). The last of those sources is a grey-literature report. None of them is treated as evidence about the 38 respondents here; they are cited only as background for the nationality most of them reported.</w:t>
      </w:r>
    </w:p>
    <w:p>
      <w:pPr>
        <w:pStyle w:val="BodyText"/>
      </w:pPr>
      <w:r>
        <w:t xml:space="preserve">An ecological view of language education takes the setting of the class, not only the student and the application, as the unit of analysis (Guerrettaz et al., 2021; van Lier, 2004). The conditions reported in this questionnaire—domestic space, paid or care work, and the circumstances of speaking in class—are therefore read as elements of respondents’ immediate learning ecologies. Power interruptions, applications marked unusable, and weak bandwidth are material and infrastructural facts, not cultural traits.</w:t>
      </w:r>
    </w:p>
    <w:bookmarkEnd w:id="23"/>
    <w:bookmarkStart w:id="24" w:name="localisation-of-delivery"/>
    <w:p>
      <w:pPr>
        <w:pStyle w:val="Heading3"/>
      </w:pPr>
      <w:r>
        <w:t xml:space="preserve">2.3 Localisation of delivery</w:t>
      </w:r>
    </w:p>
    <w:p>
      <w:pPr>
        <w:pStyle w:val="FirstParagraph"/>
      </w:pPr>
      <w:r>
        <w:t xml:space="preserve">In materials work, localisation has usually meant personalising content so that it speaks to a particular group (McDonough &amp; Shaw, 2003; Tomlinson, 2011). Canagarajah (2005) and Kumaravadivelu (2001) locate pedagogy in a specific group and place. The promotion of Chinese has long been organised through institutes, textbooks, and tests (Zhao &amp; Huang, 2010), and ICLE research has applied localisation mainly to curriculum construction and textbook adaptation (Lu et al., 2024; Zhao, 2020). Lam (2024) shows how literacy practices are reshaped in a local university classroom. Guerrettaz et al. (2021) push materials off the page and into use. If that move is taken seriously, localisation also has to ask whether learners can reach and take part in the class as it is delivered.</w:t>
      </w:r>
    </w:p>
    <w:p>
      <w:pPr>
        <w:pStyle w:val="BodyText"/>
      </w:pPr>
      <w:r>
        <w:t xml:space="preserve">It is helpful to keep four layers distinct:</w:t>
      </w:r>
    </w:p>
    <w:p>
      <w:pPr>
        <w:numPr>
          <w:ilvl w:val="0"/>
          <w:numId w:val="1002"/>
        </w:numPr>
        <w:pStyle w:val="Compact"/>
      </w:pPr>
      <w:r>
        <w:t xml:space="preserve">Localisation of</w:t>
      </w:r>
      <w:r>
        <w:t xml:space="preserve"> </w:t>
      </w:r>
      <w:r>
        <w:rPr>
          <w:iCs/>
          <w:i/>
        </w:rPr>
        <w:t xml:space="preserve">content</w:t>
      </w:r>
      <w:r>
        <w:t xml:space="preserve">: examples, festivals, and cultural comparison.</w:t>
      </w:r>
    </w:p>
    <w:p>
      <w:pPr>
        <w:numPr>
          <w:ilvl w:val="0"/>
          <w:numId w:val="1002"/>
        </w:numPr>
        <w:pStyle w:val="Compact"/>
      </w:pPr>
      <w:r>
        <w:t xml:space="preserve">Localisation of</w:t>
      </w:r>
      <w:r>
        <w:t xml:space="preserve"> </w:t>
      </w:r>
      <w:r>
        <w:rPr>
          <w:iCs/>
          <w:i/>
        </w:rPr>
        <w:t xml:space="preserve">materials</w:t>
      </w:r>
      <w:r>
        <w:t xml:space="preserve">: annotation, mediation language, and page redesign.</w:t>
      </w:r>
    </w:p>
    <w:p>
      <w:pPr>
        <w:numPr>
          <w:ilvl w:val="0"/>
          <w:numId w:val="1002"/>
        </w:numPr>
        <w:pStyle w:val="Compact"/>
      </w:pPr>
      <w:r>
        <w:t xml:space="preserve">Localisation of</w:t>
      </w:r>
      <w:r>
        <w:t xml:space="preserve"> </w:t>
      </w:r>
      <w:r>
        <w:rPr>
          <w:iCs/>
          <w:i/>
        </w:rPr>
        <w:t xml:space="preserve">curriculum</w:t>
      </w:r>
      <w:r>
        <w:t xml:space="preserve">: pathway, hours, and assessment of a named programme (Shan &amp; Xu, 2024; Zhao, 2020).</w:t>
      </w:r>
    </w:p>
    <w:p>
      <w:pPr>
        <w:numPr>
          <w:ilvl w:val="0"/>
          <w:numId w:val="1002"/>
        </w:numPr>
        <w:pStyle w:val="Compact"/>
      </w:pPr>
      <w:r>
        <w:t xml:space="preserve">Localisation of</w:t>
      </w:r>
      <w:r>
        <w:t xml:space="preserve"> </w:t>
      </w:r>
      <w:r>
        <w:rPr>
          <w:iCs/>
          <w:i/>
        </w:rPr>
        <w:t xml:space="preserve">delivery</w:t>
      </w:r>
      <w:r>
        <w:t xml:space="preserve">: institutional adaptation of time, platform, task, participation mode, and assessment to the receiving context.</w:t>
      </w:r>
    </w:p>
    <w:p>
      <w:pPr>
        <w:pStyle w:val="FirstParagraph"/>
      </w:pPr>
      <w:r>
        <w:t xml:space="preserve">This analysis is concerned with the fourth, because that is the layer in which the problem of online Chinese teaching sits. Localisation of delivery does not replace accessibility or digital inclusion; it names the institutional decisions through which access is made possible or closed off when a course moves—the timing of the class, the required application, the oral task, or the form of assessment. The questionnaire did not observe those institutional decisions. It recorded the learner-side conditions against which such decisions would have to be judged, which is the empirical question this study can answer. The claim that follows is therefore conceptual rather than institutional: a course may be locally relevant in content but inaccessible in delivery. It is localised in delivery only when its required time, platform, participation mode, task design, and assessment are feasible where learners actually take part.</w:t>
      </w:r>
    </w:p>
    <w:p>
      <w:pPr>
        <w:pStyle w:val="BodyText"/>
      </w:pPr>
      <w:r>
        <w:t xml:space="preserve">Gong et al. (2020b) map ICLE in mainland China for 2014–2018 and are used here as a pre-pandemic field sketch, not as post-COVID evidence. Gao and Hua (2021) and Gong et al. (2020a) write about international students of Chinese</w:t>
      </w:r>
      <w:r>
        <w:t xml:space="preserve"> </w:t>
      </w:r>
      <w:r>
        <w:rPr>
          <w:iCs/>
          <w:i/>
        </w:rPr>
        <w:t xml:space="preserve">in</w:t>
      </w:r>
      <w:r>
        <w:t xml:space="preserve"> </w:t>
      </w:r>
      <w:r>
        <w:t xml:space="preserve">Chinese universities. Guenier, Xing and Yan (2026) describe a designed online Chinese-culture course, which is planned online teaching rather than emergency remote teaching. The respondents in the present study completed a Chinese-language questionnaire about online Chinese classes. They are not treated as a Confucius Institute classroom sample, and enrolment in a named Chinese university was not independently verified.</w:t>
      </w:r>
    </w:p>
    <w:bookmarkEnd w:id="24"/>
    <w:bookmarkStart w:id="25" w:name="conceptual-model"/>
    <w:p>
      <w:pPr>
        <w:pStyle w:val="Heading3"/>
      </w:pPr>
      <w:r>
        <w:t xml:space="preserve">2.4 Conceptual model</w:t>
      </w:r>
    </w:p>
    <w:p>
      <w:pPr>
        <w:pStyle w:val="FirstParagraph"/>
      </w:pPr>
      <w:r>
        <w:t xml:space="preserve">Figure 1 is offered as a reading model, not as a tested path. Household infrastructure and reported platform access are concurrent conditions of a travelling course and are interpreted as possible constraints on participation. Language investment is not part of the model.</w:t>
      </w:r>
    </w:p>
    <w:p>
      <w:pPr>
        <w:pStyle w:val="BodyText"/>
      </w:pPr>
      <w:r>
        <w:t xml:space="preserve">Figure 1. Localisation of delivery as delivery-context fit (reading model). Household infrastructure (power interruptions, network stability, speed) and reported platform access are concurrent conditions. They are interpreted as possible constraints on participation and on self-reported stress, interaction, appraisal, and replacement judgements. The figure is not a causal path.</w:t>
      </w:r>
    </w:p>
    <w:bookmarkEnd w:id="25"/>
    <w:bookmarkEnd w:id="26"/>
    <w:bookmarkStart w:id="32" w:name="the-study"/>
    <w:p>
      <w:pPr>
        <w:pStyle w:val="Heading2"/>
      </w:pPr>
      <w:r>
        <w:t xml:space="preserve">3. The study</w:t>
      </w:r>
    </w:p>
    <w:p>
      <w:pPr>
        <w:pStyle w:val="FirstParagraph"/>
      </w:pPr>
      <w:r>
        <w:t xml:space="preserve">The study is an exploratory, cross-sectional questionnaire. It does not test a pre-registered confirmatory model. What follows describes the instrument, the self-selected group who completed it, and the limits of what the questionnaire can support.</w:t>
      </w:r>
    </w:p>
    <w:bookmarkStart w:id="27" w:name="design-and-context"/>
    <w:p>
      <w:pPr>
        <w:pStyle w:val="Heading3"/>
      </w:pPr>
      <w:r>
        <w:t xml:space="preserve">3.1 Design and context</w:t>
      </w:r>
    </w:p>
    <w:p>
      <w:pPr>
        <w:pStyle w:val="FirstParagraph"/>
      </w:pPr>
      <w:r>
        <w:t xml:space="preserve">The instrument title on the Wenjuan export is 新冠肺炎期间留学生在线中文学习的影响因素 (Influencing factors in international students’ online Chinese learning during COVID-19). Complete cases were submitted between 5 and 8 February 2022 (N = 38), during emergency remote teaching. That collection window is reported as a methodological fact; the article reads the responses through the later lenses set out in Section 2 and does not treat the sample as a picture of current hybrid practice. The form did not record how the link was circulated—whether through WeChat, WhatsApp, email, or student groups—so the recruitment channel cannot be named. Respondents were adults who completed the Chinese-language questionnaire about online Chinese learning. Completing that questionnaire is not treated as proof of enrolment in a Chinese university. The instrument did not ask host university, city of residence that week, degree versus non-degree status, or scholarship type. Two items asked whether required courses and electives were being taken online: 27 respondents (71.1%) reported required courses online, and 23 (60.5%) reported electives online. Those answers do not identify a named programme. The study therefore concerns a self-selected group of respondents reporting participation in online Chinese-language courses, not a verified enrolment record.</w:t>
      </w:r>
    </w:p>
    <w:bookmarkEnd w:id="27"/>
    <w:bookmarkStart w:id="28" w:name="participants"/>
    <w:p>
      <w:pPr>
        <w:pStyle w:val="Heading3"/>
      </w:pPr>
      <w:r>
        <w:t xml:space="preserve">3.2 Participants</w:t>
      </w:r>
    </w:p>
    <w:p>
      <w:pPr>
        <w:pStyle w:val="FirstParagraph"/>
      </w:pPr>
      <w:r>
        <w:t xml:space="preserve">Of the 38 respondents, 27 were men (71.1%) and 11 were women (28.9%). Thirty-seven selected Pakistani nationality and one selected another nationality. That nationality item is the only Pakistan connection in the dataset. The group is not described as verified Chinese-university enrolment, as Pakistan-resident learners, as CSC students, or as a national sample. Self-rated Chinese level was mostly advanced (22, 57.9%) or intermediate (15, 39.5%), with one beginner; the label is the student’s own, not an HSK band. Years of learning Chinese clustered at three to four years (26, 68.4%). Wenjuan submission metadata classified the operating system as iPhone (24, 63.2%) or Android (14). That variable is the device used to submit the form, not an item about all devices used for class.</w:t>
      </w:r>
    </w:p>
    <w:p>
      <w:pPr>
        <w:pStyle w:val="BodyText"/>
      </w:pPr>
      <w:r>
        <w:t xml:space="preserve">Wenjuan automatically recorded an IP-province field. A dummy was coded when that field was a mainland China province name (9 of 38). IP labels are technical metadata. They can be affected by virtual private networks and proxies, and they are not a reliable measure of physical location. They are not used as a participant-location variable and are not the basis of a sensitivity analysis. The dummy, submission dates, and device identifiers are not included in the public dataset.</w:t>
      </w:r>
    </w:p>
    <w:bookmarkEnd w:id="28"/>
    <w:bookmarkStart w:id="29" w:name="instrument-and-coding"/>
    <w:p>
      <w:pPr>
        <w:pStyle w:val="Heading3"/>
      </w:pPr>
      <w:r>
        <w:t xml:space="preserve">3.3 Instrument and coding</w:t>
      </w:r>
    </w:p>
    <w:p>
      <w:pPr>
        <w:pStyle w:val="FirstParagraph"/>
      </w:pPr>
      <w:r>
        <w:t xml:space="preserve">The questionnaire comprised about 30 items: demographics, single-choice ordinals, and multiple-response lists. Stems are in Chinese, with some non-native wording (for example 您尝尝用什么平台). English glosses are used for reporting. Self-rated Chinese proficiency was intermediate or advanced for 37 of 38 respondents. The instrument did not include a comprehension check, so completion of the Chinese-language questionnaire is treated only as evidence that respondents were willing to answer in Chinese. Item wording for the appraisal index is given in Appendix A.</w:t>
      </w:r>
    </w:p>
    <w:p>
      <w:pPr>
        <w:pStyle w:val="BodyText"/>
      </w:pPr>
      <w:r>
        <w:t xml:space="preserve">A three-item</w:t>
      </w:r>
      <w:r>
        <w:t xml:space="preserve"> </w:t>
      </w:r>
      <w:r>
        <w:rPr>
          <w:iCs/>
          <w:i/>
        </w:rPr>
        <w:t xml:space="preserve">perceived online-learning appraisal index</w:t>
      </w:r>
      <w:r>
        <w:t xml:space="preserve"> </w:t>
      </w:r>
      <w:r>
        <w:t xml:space="preserve">was formed from learned much (Q8), improves Chinese (Q9), and sparks interest (Q10). The items ask related but not identical questions and are treated as a descriptive index, not as a validated unidimensional scale. Internal consistency was acceptable in this sample (Cronbach’s α = .84); Spearman inter-item correlations ranged from .55 to .75 (Appendix B). Exploratory factor analysis was not used (N = 38). Individual items are also reported. One double-tick on</w:t>
      </w:r>
      <w:r>
        <w:t xml:space="preserve"> </w:t>
      </w:r>
      <w:r>
        <w:t xml:space="preserve">“</w:t>
      </w:r>
      <w:r>
        <w:t xml:space="preserve">like online classes</w:t>
      </w:r>
      <w:r>
        <w:t xml:space="preserve">”</w:t>
      </w:r>
      <w:r>
        <w:t xml:space="preserve"> </w:t>
      </w:r>
      <w:r>
        <w:t xml:space="preserve">was excluded for that item only (n = 37 valid).</w:t>
      </w:r>
    </w:p>
    <w:p>
      <w:pPr>
        <w:pStyle w:val="BodyText"/>
      </w:pPr>
      <w:r>
        <w:t xml:space="preserve">Coding follows the Wenjuan export. Higher values on speed, learned, improve, interest, and teacher interaction indicate a more negative report (worse speed; less learning, improvement, or interest; thinner interaction). Stress (Q24) is a four-category questionnaire item coded 1 = very high to 4 = none.</w:t>
      </w:r>
      <w:r>
        <w:t xml:space="preserve"> </w:t>
      </w:r>
      <w:r>
        <w:rPr>
          <w:iCs/>
          <w:i/>
        </w:rPr>
        <w:t xml:space="preserve">Very high stress</w:t>
      </w:r>
      <w:r>
        <w:t xml:space="preserve"> </w:t>
      </w:r>
      <w:r>
        <w:t xml:space="preserve">is that first category (非常高), not an analyst-created threshold or a cut on a multi-item scale. The focal stress analysis uses a dummy for this category and does not reverse the ordinal. Full coding directions are in Table A1.</w:t>
      </w:r>
    </w:p>
    <w:p>
      <w:pPr>
        <w:pStyle w:val="BodyText"/>
      </w:pPr>
      <w:r>
        <w:t xml:space="preserve">The export labelled one multiple-response problem as</w:t>
      </w:r>
      <w:r>
        <w:t xml:space="preserve"> </w:t>
      </w:r>
      <w:r>
        <w:t xml:space="preserve">“</w:t>
      </w:r>
      <w:r>
        <w:t xml:space="preserve">no electricity.</w:t>
      </w:r>
      <w:r>
        <w:t xml:space="preserve">”</w:t>
      </w:r>
      <w:r>
        <w:t xml:space="preserve"> </w:t>
      </w:r>
      <w:r>
        <w:t xml:space="preserve">References to load-shedding elsewhere in the article are contextual. In the results the item is reported as</w:t>
      </w:r>
      <w:r>
        <w:t xml:space="preserve"> </w:t>
      </w:r>
      <w:r>
        <w:rPr>
          <w:iCs/>
          <w:i/>
        </w:rPr>
        <w:t xml:space="preserve">power interruptions</w:t>
      </w:r>
      <w:r>
        <w:t xml:space="preserve"> </w:t>
      </w:r>
      <w:r>
        <w:t xml:space="preserve">(export label: no electricity).</w:t>
      </w:r>
      <w:r>
        <w:t xml:space="preserve"> </w:t>
      </w:r>
      <w:r>
        <w:t xml:space="preserve">“</w:t>
      </w:r>
      <w:r>
        <w:t xml:space="preserve">中国慕课</w:t>
      </w:r>
      <w:r>
        <w:t xml:space="preserve">”</w:t>
      </w:r>
      <w:r>
        <w:t xml:space="preserve"> </w:t>
      </w:r>
      <w:r>
        <w:t xml:space="preserve">is reported as printed on the form; the option did not name a single provider such as 中国大学MOOC.</w:t>
      </w:r>
    </w:p>
    <w:bookmarkEnd w:id="29"/>
    <w:bookmarkStart w:id="30" w:name="analysis"/>
    <w:p>
      <w:pPr>
        <w:pStyle w:val="Heading3"/>
      </w:pPr>
      <w:r>
        <w:t xml:space="preserve">3.4 Analysis</w:t>
      </w:r>
    </w:p>
    <w:p>
      <w:pPr>
        <w:pStyle w:val="FirstParagraph"/>
      </w:pPr>
      <w:r>
        <w:t xml:space="preserve">Frequencies are n/38 unless noted. Multiple-response items are the percentage who selected the option. Two associations were treated as focal: (a) home affects study very much × very high stress; and (b) internet speed × the appraisal index. For the 2 × 2 table we report cell counts and two-sided Fisher’s exact</w:t>
      </w:r>
      <w:r>
        <w:t xml:space="preserve"> </w:t>
      </w:r>
      <w:r>
        <w:rPr>
          <w:iCs/>
          <w:i/>
        </w:rPr>
        <w:t xml:space="preserve">p</w:t>
      </w:r>
      <w:r>
        <w:t xml:space="preserve"> </w:t>
      </w:r>
      <w:r>
        <w:t xml:space="preserve">(SciPy</w:t>
      </w:r>
      <w:r>
        <w:t xml:space="preserve"> </w:t>
      </w:r>
      <w:r>
        <w:rPr>
          <w:rStyle w:val="VerbatimChar"/>
        </w:rPr>
        <w:t xml:space="preserve">fisher_exact</w:t>
      </w:r>
      <w:r>
        <w:t xml:space="preserve">). Odds ratios and Wald confidence intervals are not reported: at N = 38 they are unstable, and a Wald interval can disagree with Fisher’s</w:t>
      </w:r>
      <w:r>
        <w:t xml:space="preserve"> </w:t>
      </w:r>
      <w:r>
        <w:rPr>
          <w:iCs/>
          <w:i/>
        </w:rPr>
        <w:t xml:space="preserve">p</w:t>
      </w:r>
      <w:r>
        <w:t xml:space="preserve">. For the ordinal pair we report Spearman’s ρ and a percentile bootstrap 95% confidence interval calculated from 5,000 resamples. Other associations, including gender, are secondary and are placed in Appendix B.</w:t>
      </w:r>
      <w:r>
        <w:t xml:space="preserve"> </w:t>
      </w:r>
      <w:r>
        <w:rPr>
          <w:iCs/>
          <w:i/>
        </w:rPr>
        <w:t xml:space="preserve">p</w:t>
      </w:r>
      <w:r>
        <w:t xml:space="preserve"> </w:t>
      </w:r>
      <w:r>
        <w:t xml:space="preserve">values are not adjusted for multiplicity and are not interpreted as confirmatory.</w:t>
      </w:r>
    </w:p>
    <w:p>
      <w:pPr>
        <w:pStyle w:val="BodyText"/>
      </w:pPr>
      <w:r>
        <w:t xml:space="preserve">A Pakistani-nationality check (n = 37) is reported only to show that dropping the one non-Pakistani case does not reverse the two focal associations. It is not a location analysis.</w:t>
      </w:r>
    </w:p>
    <w:bookmarkEnd w:id="30"/>
    <w:bookmarkStart w:id="31" w:name="ethics-and-data-protection"/>
    <w:p>
      <w:pPr>
        <w:pStyle w:val="Heading3"/>
      </w:pPr>
      <w:r>
        <w:t xml:space="preserve">3.5 Ethics and data protection</w:t>
      </w:r>
    </w:p>
    <w:p>
      <w:pPr>
        <w:pStyle w:val="FirstParagraph"/>
      </w:pPr>
      <w:r>
        <w:t xml:space="preserve">Adult respondents completed an online form presented as research on online Chinese learning. The form stated that answers would be used for research, and completion and submission were treated as consent. Names, IP addresses, exact timestamps, and device identifiers were removed before the public file was prepared.</w:t>
      </w:r>
    </w:p>
    <w:p>
      <w:pPr>
        <w:pStyle w:val="BodyText"/>
      </w:pPr>
      <w:r>
        <w:t xml:space="preserve">No institutional ethics approval number is available for the original 2022 data collection. The first author was then an M.Phil. student, and numbered approval was not obtained. This article reports an anonymised secondary analysis of that file.</w:t>
      </w:r>
    </w:p>
    <w:bookmarkEnd w:id="31"/>
    <w:bookmarkEnd w:id="32"/>
    <w:bookmarkStart w:id="37" w:name="results"/>
    <w:p>
      <w:pPr>
        <w:pStyle w:val="Heading2"/>
      </w:pPr>
      <w:r>
        <w:t xml:space="preserve">4. Results</w:t>
      </w:r>
    </w:p>
    <w:bookmarkStart w:id="33" w:name="respondents-and-reported-conditions"/>
    <w:p>
      <w:pPr>
        <w:pStyle w:val="Heading3"/>
      </w:pPr>
      <w:r>
        <w:t xml:space="preserve">4.1 Respondents and reported conditions</w:t>
      </w:r>
    </w:p>
    <w:p>
      <w:pPr>
        <w:pStyle w:val="FirstParagraph"/>
      </w:pPr>
      <w:r>
        <w:t xml:space="preserve">Table 1 locates the sample. Most respondents (78.9%) said all of their Chinese classes were online, and more than half (57.9%) reported working alongside study.</w:t>
      </w:r>
    </w:p>
    <w:p>
      <w:pPr>
        <w:pStyle w:val="BodyText"/>
      </w:pPr>
      <w:r>
        <w:rPr>
          <w:bCs/>
          <w:b/>
        </w:rPr>
        <w:t xml:space="preserve">Table 1</w:t>
      </w:r>
    </w:p>
    <w:p>
      <w:pPr>
        <w:pStyle w:val="BodyText"/>
      </w:pPr>
      <w:r>
        <w:rPr>
          <w:iCs/>
          <w:i/>
        </w:rPr>
        <w:t xml:space="preserve">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 nationality</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 (self-rating)</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Submission device: iPhone / Android</w:t>
            </w:r>
          </w:p>
        </w:tc>
        <w:tc>
          <w:tcPr/>
          <w:p>
            <w:pPr>
              <w:pStyle w:val="Compact"/>
              <w:jc w:val="right"/>
            </w:pPr>
            <w:r>
              <w:t xml:space="preserve">24 / 14</w:t>
            </w:r>
          </w:p>
        </w:tc>
        <w:tc>
          <w:tcPr/>
          <w:p>
            <w:pPr>
              <w:pStyle w:val="Compact"/>
              <w:jc w:val="right"/>
            </w:pPr>
            <w:r>
              <w:t xml:space="preserve">63.2 / 36.8</w:t>
            </w:r>
          </w:p>
        </w:tc>
      </w:tr>
      <w:tr>
        <w:tc>
          <w:tcPr/>
          <w:p>
            <w:pPr>
              <w:pStyle w:val="Compact"/>
              <w:jc w:val="left"/>
            </w:pPr>
            <w:r>
              <w:t xml:space="preserve">Total</w:t>
            </w:r>
          </w:p>
        </w:tc>
        <w:tc>
          <w:tcPr/>
          <w:p>
            <w:pPr>
              <w:pStyle w:val="Compact"/>
              <w:jc w:val="right"/>
            </w:pPr>
            <w:r>
              <w:t xml:space="preserve">38</w:t>
            </w:r>
          </w:p>
        </w:tc>
        <w:tc>
          <w:tcPr/>
          <w:p>
            <w:pPr>
              <w:pStyle w:val="Compact"/>
              <w:jc w:val="right"/>
            </w:pPr>
            <w:r>
              <w:t xml:space="preserve">100</w:t>
            </w:r>
          </w:p>
        </w:tc>
      </w:tr>
    </w:tbl>
    <w:p>
      <w:pPr>
        <w:pStyle w:val="BodyText"/>
      </w:pPr>
      <w:r>
        <w:rPr>
          <w:iCs/>
          <w:i/>
        </w:rPr>
        <w:t xml:space="preserve">Note.</w:t>
      </w:r>
      <w:r>
        <w:t xml:space="preserve"> </w:t>
      </w:r>
      <w:r>
        <w:t xml:space="preserve">Convenience sample, Wenjuan, 5 to 8 February 2022. Device is the operating system recorded at submission, reported only as an aggregate.</w:t>
      </w:r>
    </w:p>
    <w:p>
      <w:pPr>
        <w:pStyle w:val="BodyText"/>
      </w:pPr>
      <w:r>
        <w:t xml:space="preserve">Table 2 summarises the conditions respondents reported. Unstable networks (76.3%) and power interruptions (42.1%) were common. Speed was split: 36.8% good or very good, 36.8% average, and 26.3% bad or very bad. Four respondents (10.5%) said their country did not have internet, yet all 38 submitted an online form. The item wording does not allow a firm reinterpretation, so the response is reported as given. Only 11 of 38 (28.9%) described the home as quiet.</w:t>
      </w:r>
    </w:p>
    <w:p>
      <w:pPr>
        <w:pStyle w:val="BodyText"/>
      </w:pPr>
      <w:r>
        <w:rPr>
          <w:bCs/>
          <w:b/>
        </w:rPr>
        <w:t xml:space="preserve">Table 2</w:t>
      </w:r>
    </w:p>
    <w:p>
      <w:pPr>
        <w:pStyle w:val="BodyText"/>
      </w:pPr>
      <w:r>
        <w:rPr>
          <w:iCs/>
          <w:i/>
        </w:rPr>
        <w:t xml:space="preserve">Reported conditions and selected outcomes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Power interruptions (export label: 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Very high psychological stress</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Online cannot replace face-to-face</w:t>
            </w:r>
          </w:p>
        </w:tc>
        <w:tc>
          <w:tcPr/>
          <w:p>
            <w:pPr>
              <w:pStyle w:val="Compact"/>
              <w:jc w:val="right"/>
            </w:pPr>
            <w:r>
              <w:t xml:space="preserve">19</w:t>
            </w:r>
          </w:p>
        </w:tc>
        <w:tc>
          <w:tcPr/>
          <w:p>
            <w:pPr>
              <w:pStyle w:val="Compact"/>
              <w:jc w:val="right"/>
            </w:pPr>
            <w:r>
              <w:t xml:space="preserve">50.0</w:t>
            </w:r>
          </w:p>
        </w:tc>
      </w:tr>
      <w:tr>
        <w:tc>
          <w:tcPr/>
          <w:p>
            <w:pPr>
              <w:pStyle w:val="Compact"/>
              <w:jc w:val="left"/>
            </w:pPr>
            <w:r>
              <w:t xml:space="preserve">Learned little or nothing online</w:t>
            </w:r>
          </w:p>
        </w:tc>
        <w:tc>
          <w:tcPr/>
          <w:p>
            <w:pPr>
              <w:pStyle w:val="Compact"/>
              <w:jc w:val="right"/>
            </w:pPr>
            <w:r>
              <w:t xml:space="preserve">11</w:t>
            </w:r>
          </w:p>
        </w:tc>
        <w:tc>
          <w:tcPr/>
          <w:p>
            <w:pPr>
              <w:pStyle w:val="Compact"/>
              <w:jc w:val="right"/>
            </w:pPr>
            <w:r>
              <w:t xml:space="preserve">28.9</w:t>
            </w:r>
          </w:p>
        </w:tc>
      </w:tr>
    </w:tbl>
    <w:p>
      <w:pPr>
        <w:pStyle w:val="BodyText"/>
      </w:pPr>
      <w:r>
        <w:t xml:space="preserve">Among those who said the home affected study very much, 11 of 14 also selected</w:t>
      </w:r>
      <w:r>
        <w:t xml:space="preserve"> </w:t>
      </w:r>
      <w:r>
        <w:t xml:space="preserve">“</w:t>
      </w:r>
      <w:r>
        <w:t xml:space="preserve">very high</w:t>
      </w:r>
      <w:r>
        <w:t xml:space="preserve">”</w:t>
      </w:r>
      <w:r>
        <w:t xml:space="preserve"> </w:t>
      </w:r>
      <w:r>
        <w:t xml:space="preserve">psychological stress; among the others, 3 of 24 did (two-sided Fisher’s exact</w:t>
      </w:r>
      <w:r>
        <w:t xml:space="preserve"> </w:t>
      </w:r>
      <w:r>
        <w:rPr>
          <w:iCs/>
          <w:i/>
        </w:rPr>
        <w:t xml:space="preserve">p</w:t>
      </w:r>
      <w:r>
        <w:t xml:space="preserve"> </w:t>
      </w:r>
      <w:r>
        <w:t xml:space="preserve">= .00008). That is a co-occurrence in this dataset, not evidence that the household caused stress. Descriptively, 36.8% of the sample selected the very-high-stress category.</w:t>
      </w:r>
    </w:p>
    <w:bookmarkEnd w:id="33"/>
    <w:bookmarkStart w:id="34" w:name="reported-platform-access"/>
    <w:p>
      <w:pPr>
        <w:pStyle w:val="Heading3"/>
      </w:pPr>
      <w:r>
        <w:t xml:space="preserve">4.2 Reported platform access</w:t>
      </w:r>
    </w:p>
    <w:p>
      <w:pPr>
        <w:pStyle w:val="FirstParagraph"/>
      </w:pPr>
      <w:r>
        <w:t xml:space="preserve">Respondents reported uneven access to institutionally familiar and consumer-facing platforms (Table 3). The pattern is read as a possible platform-geography dimension of delivery-context fit. The questionnaire cannot isolate country restrictions, routing, account rules, skills, or virtual private networks.</w:t>
      </w:r>
    </w:p>
    <w:p>
      <w:pPr>
        <w:pStyle w:val="BodyText"/>
      </w:pPr>
      <w:r>
        <w:t xml:space="preserve">The tools reported as used for class were Tencent Meeting (71.1%), Zoom (47.4%), and WeChat (31.6%). Those marked unusable</w:t>
      </w:r>
      <w:r>
        <w:t xml:space="preserve"> </w:t>
      </w:r>
      <w:r>
        <w:t xml:space="preserve">“</w:t>
      </w:r>
      <w:r>
        <w:t xml:space="preserve">in my country</w:t>
      </w:r>
      <w:r>
        <w:t xml:space="preserve">”</w:t>
      </w:r>
      <w:r>
        <w:t xml:space="preserve"> </w:t>
      </w:r>
      <w:r>
        <w:t xml:space="preserve">included QQ (50.0%), Chaoxing (42.1%), DingTalk (28.9%), and 中国慕课 (28.9%). Those marked available included Zoom (71.1%), WhatsApp (68.4%), Tencent Meeting (57.9%), and WeChat (39.5%). WhatsApp appears only as available; the retained form did not code whether it was used for class. Tencent Meeting was the most used class tool but was marked available by fewer respondents, a discrepancy left as an item-level inconsistency.</w:t>
      </w:r>
    </w:p>
    <w:p>
      <w:pPr>
        <w:pStyle w:val="BodyText"/>
      </w:pPr>
      <w:r>
        <w:rPr>
          <w:bCs/>
          <w:b/>
        </w:rPr>
        <w:t xml:space="preserve">Table 3</w:t>
      </w:r>
    </w:p>
    <w:p>
      <w:pPr>
        <w:pStyle w:val="BodyText"/>
      </w:pPr>
      <w:r>
        <w:rPr>
          <w:iCs/>
          <w:i/>
        </w:rPr>
        <w:t xml:space="preserve">Reported use and perceived availability of platforms (multiple response, N = 38)</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Marked unusable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中国慕课 (Chinese MOOC, as printed)</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 the item was not asked in that column.</w:t>
      </w:r>
      <w:r>
        <w:t xml:space="preserve"> </w:t>
      </w:r>
      <w:r>
        <w:t xml:space="preserve">“</w:t>
      </w:r>
      <w:r>
        <w:t xml:space="preserve">My country</w:t>
      </w:r>
      <w:r>
        <w:t xml:space="preserve">”</w:t>
      </w:r>
      <w:r>
        <w:t xml:space="preserve"> </w:t>
      </w:r>
      <w:r>
        <w:t xml:space="preserve">is the stem wording. QQ, Chaoxing, DingTalk, and 中国慕课 are platforms often used in Chinese-university teaching; they are not exclusively campus systems.</w:t>
      </w:r>
      <w:r>
        <w:t xml:space="preserve"> </w:t>
      </w:r>
      <w:r>
        <w:t xml:space="preserve">“</w:t>
      </w:r>
      <w:r>
        <w:t xml:space="preserve">Marked unusable</w:t>
      </w:r>
      <w:r>
        <w:t xml:space="preserve">”</w:t>
      </w:r>
      <w:r>
        <w:t xml:space="preserve"> </w:t>
      </w:r>
      <w:r>
        <w:t xml:space="preserve">follows the item wording and is not a technical claim that the platform was blocked.</w:t>
      </w:r>
    </w:p>
    <w:bookmarkEnd w:id="34"/>
    <w:bookmarkStart w:id="35" w:name="perceived-learning-and-internet-speed"/>
    <w:p>
      <w:pPr>
        <w:pStyle w:val="Heading3"/>
      </w:pPr>
      <w:r>
        <w:t xml:space="preserve">4.3 Perceived learning and internet speed</w:t>
      </w:r>
    </w:p>
    <w:p>
      <w:pPr>
        <w:pStyle w:val="FirstParagraph"/>
      </w:pPr>
      <w:r>
        <w:t xml:space="preserve">Active interaction with the teacher</w:t>
      </w:r>
      <w:r>
        <w:t xml:space="preserve"> </w:t>
      </w:r>
      <w:r>
        <w:t xml:space="preserve">“</w:t>
      </w:r>
      <w:r>
        <w:t xml:space="preserve">very much</w:t>
      </w:r>
      <w:r>
        <w:t xml:space="preserve">”</w:t>
      </w:r>
      <w:r>
        <w:t xml:space="preserve"> </w:t>
      </w:r>
      <w:r>
        <w:t xml:space="preserve">was reported by 6 of 38 (15.8%). When classroom talk was reported, it was mainly dialogue (76.3%) and question and answer (57.9%). Role-play was rare (7.9%).</w:t>
      </w:r>
    </w:p>
    <w:p>
      <w:pPr>
        <w:pStyle w:val="BodyText"/>
      </w:pPr>
      <w:r>
        <w:t xml:space="preserve">On the appraisal items, 18.4% said they could learn</w:t>
      </w:r>
      <w:r>
        <w:t xml:space="preserve"> </w:t>
      </w:r>
      <w:r>
        <w:t xml:space="preserve">“</w:t>
      </w:r>
      <w:r>
        <w:t xml:space="preserve">a lot</w:t>
      </w:r>
      <w:r>
        <w:t xml:space="preserve">”</w:t>
      </w:r>
      <w:r>
        <w:t xml:space="preserve"> </w:t>
      </w:r>
      <w:r>
        <w:t xml:space="preserve">online and 28.9% said little or nothing. Worse internet speed was associated with a worse appraisal index (ρ = .65,</w:t>
      </w:r>
      <w:r>
        <w:t xml:space="preserve"> </w:t>
      </w:r>
      <w:r>
        <w:rPr>
          <w:iCs/>
          <w:i/>
        </w:rPr>
        <w:t xml:space="preserve">p</w:t>
      </w:r>
      <w:r>
        <w:t xml:space="preserve"> </w:t>
      </w:r>
      <w:r>
        <w:t xml:space="preserve">&lt; .001, percentile bootstrap 95% CI [.36, .84]). A simple, unvalidated count of selected infrastructure-problem options (unstable network, power interruptions, no signal) was not associated with the index (ρ = .02,</w:t>
      </w:r>
      <w:r>
        <w:t xml:space="preserve"> </w:t>
      </w:r>
      <w:r>
        <w:rPr>
          <w:iCs/>
          <w:i/>
        </w:rPr>
        <w:t xml:space="preserve">p</w:t>
      </w:r>
      <w:r>
        <w:t xml:space="preserve"> </w:t>
      </w:r>
      <w:r>
        <w:t xml:space="preserve">= .91, percentile bootstrap 95% CI [−.32, .37]). That count is an exploratory post hoc indicator: unstable network and no signal may overlap, and power interruptions are a different layer of infrastructure. The non-significant correlation is therefore not read as evidence that speed matters but the number of problems does not. These are rank associations, not effects of infrastructure on learning.</w:t>
      </w:r>
    </w:p>
    <w:p>
      <w:pPr>
        <w:pStyle w:val="BodyText"/>
      </w:pPr>
      <w:r>
        <w:t xml:space="preserve">Preferred live length was 45 minutes for 50% and 30 minutes for 28.9%. One open comment said that even one minute online was</w:t>
      </w:r>
      <w:r>
        <w:t xml:space="preserve"> </w:t>
      </w:r>
      <w:r>
        <w:t xml:space="preserve">“</w:t>
      </w:r>
      <w:r>
        <w:t xml:space="preserve">not suitable.</w:t>
      </w:r>
      <w:r>
        <w:t xml:space="preserve">”</w:t>
      </w:r>
    </w:p>
    <w:p>
      <w:pPr>
        <w:pStyle w:val="BodyText"/>
      </w:pPr>
      <w:r>
        <w:rPr>
          <w:bCs/>
          <w:b/>
        </w:rPr>
        <w:t xml:space="preserve">Table 4</w:t>
      </w:r>
    </w:p>
    <w:p>
      <w:pPr>
        <w:pStyle w:val="BodyText"/>
      </w:pPr>
      <w:r>
        <w:rPr>
          <w:iCs/>
          <w:i/>
        </w:rPr>
        <w:t xml:space="preserve">Focal associations (N = 38)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Association</w:t>
            </w:r>
          </w:p>
        </w:tc>
        <w:tc>
          <w:tcPr/>
          <w:p>
            <w:pPr>
              <w:pStyle w:val="Compact"/>
              <w:jc w:val="left"/>
            </w:pPr>
            <w:r>
              <w:t xml:space="preserve">Result</w:t>
            </w:r>
          </w:p>
        </w:tc>
      </w:tr>
      <w:tr>
        <w:tc>
          <w:tcPr/>
          <w:p>
            <w:pPr>
              <w:pStyle w:val="Compact"/>
              <w:jc w:val="left"/>
            </w:pPr>
            <w:r>
              <w:t xml:space="preserve">Home affects study very much × very high stress</w:t>
            </w:r>
          </w:p>
        </w:tc>
        <w:tc>
          <w:tcPr/>
          <w:p>
            <w:pPr>
              <w:pStyle w:val="Compact"/>
              <w:jc w:val="left"/>
            </w:pPr>
            <w:r>
              <w:t xml:space="preserve">11/14 vs 3/24; two-sided Fisher’s exact</w:t>
            </w:r>
            <w:r>
              <w:t xml:space="preserve"> </w:t>
            </w:r>
            <w:r>
              <w:rPr>
                <w:iCs/>
                <w:i/>
              </w:rPr>
              <w:t xml:space="preserve">p</w:t>
            </w:r>
            <w:r>
              <w:t xml:space="preserve"> </w:t>
            </w:r>
            <w:r>
              <w:t xml:space="preserve">= .00008</w:t>
            </w:r>
          </w:p>
        </w:tc>
      </w:tr>
      <w:tr>
        <w:tc>
          <w:tcPr/>
          <w:p>
            <w:pPr>
              <w:pStyle w:val="Compact"/>
              <w:jc w:val="left"/>
            </w:pPr>
            <w:r>
              <w:t xml:space="preserve">Speed (worse) × appraisal index (worse)</w:t>
            </w:r>
          </w:p>
        </w:tc>
        <w:tc>
          <w:tcPr/>
          <w:p>
            <w:pPr>
              <w:pStyle w:val="Compact"/>
              <w:jc w:val="left"/>
            </w:pPr>
            <w:r>
              <w:t xml:space="preserve">ρ = .65, percentile bootstrap 95% CI [.36, .84],</w:t>
            </w:r>
            <w:r>
              <w:t xml:space="preserve"> </w:t>
            </w:r>
            <w:r>
              <w:rPr>
                <w:iCs/>
                <w:i/>
              </w:rPr>
              <w:t xml:space="preserve">p</w:t>
            </w:r>
            <w:r>
              <w:t xml:space="preserve"> </w:t>
            </w:r>
            <w:r>
              <w:t xml:space="preserve">&lt; .001</w:t>
            </w:r>
          </w:p>
        </w:tc>
      </w:tr>
      <w:tr>
        <w:tc>
          <w:tcPr/>
          <w:p>
            <w:pPr>
              <w:pStyle w:val="Compact"/>
              <w:jc w:val="left"/>
            </w:pPr>
            <w:r>
              <w:t xml:space="preserve">Infrastructure-problem count × appraisal index (exploratory post hoc)</w:t>
            </w:r>
          </w:p>
        </w:tc>
        <w:tc>
          <w:tcPr/>
          <w:p>
            <w:pPr>
              <w:pStyle w:val="Compact"/>
              <w:jc w:val="left"/>
            </w:pPr>
            <w:r>
              <w:t xml:space="preserve">ρ = .02, percentile bootstrap 95% CI [−.32, .37],</w:t>
            </w:r>
            <w:r>
              <w:t xml:space="preserve"> </w:t>
            </w:r>
            <w:r>
              <w:rPr>
                <w:iCs/>
                <w:i/>
              </w:rPr>
              <w:t xml:space="preserve">p</w:t>
            </w:r>
            <w:r>
              <w:t xml:space="preserve"> </w:t>
            </w:r>
            <w:r>
              <w:t xml:space="preserve">= .91</w:t>
            </w:r>
          </w:p>
        </w:tc>
      </w:tr>
    </w:tbl>
    <w:p>
      <w:pPr>
        <w:pStyle w:val="BodyText"/>
      </w:pPr>
      <w:r>
        <w:rPr>
          <w:iCs/>
          <w:i/>
        </w:rPr>
        <w:t xml:space="preserve">Note.</w:t>
      </w:r>
      <w:r>
        <w:t xml:space="preserve"> </w:t>
      </w:r>
      <w:r>
        <w:t xml:space="preserve">Analyses are exploratory. Odds ratios are omitted. The infrastructure-problem count is an unvalidated post hoc indicator and is not treated as a parallel scale.</w:t>
      </w:r>
    </w:p>
    <w:p>
      <w:pPr>
        <w:pStyle w:val="BodyText"/>
      </w:pPr>
      <w:r>
        <w:t xml:space="preserve">Among Pakistani-nationality respondents only (n = 37), the home–stress table remained 11/14 versus 3/23 (two-sided Fisher’s exact</w:t>
      </w:r>
      <w:r>
        <w:t xml:space="preserve"> </w:t>
      </w:r>
      <w:r>
        <w:rPr>
          <w:iCs/>
          <w:i/>
        </w:rPr>
        <w:t xml:space="preserve">p</w:t>
      </w:r>
      <w:r>
        <w:t xml:space="preserve"> </w:t>
      </w:r>
      <w:r>
        <w:t xml:space="preserve">= .00011) and speed × appraisal was ρ = .67 (percentile bootstrap 95% CI [.39, .85]).</w:t>
      </w:r>
    </w:p>
    <w:bookmarkEnd w:id="35"/>
    <w:bookmarkStart w:id="36" w:name="X97201ae18f9cce7e94bf1bc756e03fa139ac895"/>
    <w:p>
      <w:pPr>
        <w:pStyle w:val="Heading3"/>
      </w:pPr>
      <w:r>
        <w:t xml:space="preserve">4.4 Replacement judgement (secondary gender note)</w:t>
      </w:r>
    </w:p>
    <w:p>
      <w:pPr>
        <w:pStyle w:val="FirstParagraph"/>
      </w:pPr>
      <w:r>
        <w:t xml:space="preserve">Nineteen of 38 said online study could replace campus classes, and 19 said it could not. Among women, 9 of 11 said it could not; among men, 10 of 27 said so. With only 11 women, this is a cautious observation of perceived legitimacy in this sample. It is not a gender finding about Pakistani households and is not treated as a focal test (Appendix B).</w:t>
      </w:r>
    </w:p>
    <w:bookmarkEnd w:id="36"/>
    <w:bookmarkEnd w:id="37"/>
    <w:bookmarkStart w:id="38" w:name="discussion"/>
    <w:p>
      <w:pPr>
        <w:pStyle w:val="Heading2"/>
      </w:pPr>
      <w:r>
        <w:t xml:space="preserve">5. Discussion</w:t>
      </w:r>
    </w:p>
    <w:p>
      <w:pPr>
        <w:pStyle w:val="FirstParagraph"/>
      </w:pPr>
      <w:r>
        <w:t xml:space="preserve">The study set out to establish whether the difficulties the field has named for online Chinese teaching—networks, platforms, interaction, and affect—were present as learner-side conditions in this sample. The answer is yes. Respondents commonly reported unstable networks, power interruptions, and uneven platform access. Active interaction with the teacher</w:t>
      </w:r>
      <w:r>
        <w:t xml:space="preserve"> </w:t>
      </w:r>
      <w:r>
        <w:t xml:space="preserve">“</w:t>
      </w:r>
      <w:r>
        <w:t xml:space="preserve">very much</w:t>
      </w:r>
      <w:r>
        <w:t xml:space="preserve">”</w:t>
      </w:r>
      <w:r>
        <w:t xml:space="preserve"> </w:t>
      </w:r>
      <w:r>
        <w:t xml:space="preserve">was uncommon. Those who said the home affected study</w:t>
      </w:r>
      <w:r>
        <w:t xml:space="preserve"> </w:t>
      </w:r>
      <w:r>
        <w:t xml:space="preserve">“</w:t>
      </w:r>
      <w:r>
        <w:t xml:space="preserve">very much</w:t>
      </w:r>
      <w:r>
        <w:t xml:space="preserve">”</w:t>
      </w:r>
      <w:r>
        <w:t xml:space="preserve"> </w:t>
      </w:r>
      <w:r>
        <w:t xml:space="preserve">more often selected</w:t>
      </w:r>
      <w:r>
        <w:t xml:space="preserve"> </w:t>
      </w:r>
      <w:r>
        <w:t xml:space="preserve">“</w:t>
      </w:r>
      <w:r>
        <w:t xml:space="preserve">very high stress,</w:t>
      </w:r>
      <w:r>
        <w:t xml:space="preserve">”</w:t>
      </w:r>
      <w:r>
        <w:t xml:space="preserve"> </w:t>
      </w:r>
      <w:r>
        <w:t xml:space="preserve">and worse reported internet speed was associated with a more negative appraisal of online learning. The questionnaire does not show how institutions adapted. What it does show is the learner-side conditions that would have pressed on any travelling Chinese-language course. Localisation of content and materials would still have been necessary (Lu et al., 2024; Zhao, 2020). It would not, by itself, have answered a synchronous session on an unstable connection, or a required application that respondents marked unusable in their country.</w:t>
      </w:r>
    </w:p>
    <w:p>
      <w:pPr>
        <w:pStyle w:val="BodyText"/>
      </w:pPr>
      <w:r>
        <w:t xml:space="preserve">Those conditions belong to the culture of the class in a narrow, ecological sense: the immediate setting in which language work was asked to happen (van Lier, 2004). They are not a claim about Pakistani culture, nor about a national educational system. Most respondents selected Pakistani nationality, and that is the only Pakistan connection the dataset can support.</w:t>
      </w:r>
    </w:p>
    <w:p>
      <w:pPr>
        <w:pStyle w:val="BodyText"/>
      </w:pPr>
      <w:r>
        <w:t xml:space="preserve">The platform pattern is best read as a possible geography of delivery. Applications often used in Chinese-university teaching (QQ, Chaoxing, DingTalk, 中国慕课) were frequently marked unusable, while Zoom and WhatsApp were more often marked available. The questionnaire cannot say whether that pattern reflects country restrictions, routing, account rules, skills, or virtual private networks. It can say that a travelling course which assumes a single institutional toolkit may ask learners to enter a class they cannot reliably open.</w:t>
      </w:r>
    </w:p>
    <w:p>
      <w:pPr>
        <w:pStyle w:val="BodyText"/>
      </w:pPr>
      <w:r>
        <w:t xml:space="preserve">Participation in this dataset co-occurred with reported platform access, power and connectivity problems, and a home that many described as not quiet. That is a description of domestic participation conditions, not a claim that inequality is</w:t>
      </w:r>
      <w:r>
        <w:t xml:space="preserve"> </w:t>
      </w:r>
      <w:r>
        <w:t xml:space="preserve">“</w:t>
      </w:r>
      <w:r>
        <w:t xml:space="preserve">cultural.</w:t>
      </w:r>
      <w:r>
        <w:t xml:space="preserve">”</w:t>
      </w:r>
    </w:p>
    <w:bookmarkEnd w:id="38"/>
    <w:bookmarkStart w:id="39" w:name="implications-for-online-chinese-teaching"/>
    <w:p>
      <w:pPr>
        <w:pStyle w:val="Heading2"/>
      </w:pPr>
      <w:r>
        <w:t xml:space="preserve">6. Implications for online Chinese teaching</w:t>
      </w:r>
    </w:p>
    <w:p>
      <w:pPr>
        <w:pStyle w:val="FirstParagraph"/>
      </w:pPr>
      <w:r>
        <w:t xml:space="preserve">If the problem of online Chinese teaching is also a delivery problem, course design has to treat time, platform, participation mode, task, and assessment as teaching decisions rather than as technical afterthoughts. The present findings can support only cautious, sample-bound suggestions: shorter or asynchronous oral alternatives; assessment that does not assume a quiet campus hour; and a required platform that respondents can actually open. WhatsApp was marked available here, but it was not recorded as used for class, so the data do not recommend it as a replacement. Nor do they show that later hybrid ICLE has repeated this pattern. They do suggest that hybrid models</w:t>
      </w:r>
      <w:r>
        <w:t xml:space="preserve"> </w:t>
      </w:r>
      <w:r>
        <w:rPr>
          <w:iCs/>
          <w:i/>
        </w:rPr>
        <w:t xml:space="preserve">may</w:t>
      </w:r>
      <w:r>
        <w:t xml:space="preserve"> </w:t>
      </w:r>
      <w:r>
        <w:t xml:space="preserve">reproduce a similar mismatch if the delivery assumptions of a travelling course are left unexamined (Stockwell &amp; Wang, 2023).</w:t>
      </w:r>
    </w:p>
    <w:bookmarkEnd w:id="39"/>
    <w:bookmarkStart w:id="40" w:name="limitations"/>
    <w:p>
      <w:pPr>
        <w:pStyle w:val="Heading2"/>
      </w:pPr>
      <w:r>
        <w:t xml:space="preserve">7. Limitations</w:t>
      </w:r>
    </w:p>
    <w:p>
      <w:pPr>
        <w:pStyle w:val="FirstParagraph"/>
      </w:pPr>
      <w:r>
        <w:t xml:space="preserve">The sample is small (N = 38), network-recruited, and majority male. Recruitment channel, host university, programme type, and place of residence that week were not recorded, so Chinese-university enrolment is not independently verified. IP metadata are not a location measure. All outcomes are self-report. The appraisal index is descriptive, not a validated scale, and the infrastructure-problem count is an unvalidated post hoc indicator. The form did not measure institutional adaptation. The data are from February 2022 and concern emergency remote teaching; they are not evidence about current hybrid education. No ethics-committee number is available for the 2022 collection (Section 3.5).</w:t>
      </w:r>
    </w:p>
    <w:bookmarkEnd w:id="40"/>
    <w:bookmarkStart w:id="41" w:name="conclusion"/>
    <w:p>
      <w:pPr>
        <w:pStyle w:val="Heading2"/>
      </w:pPr>
      <w:r>
        <w:t xml:space="preserve">8. Conclusion</w:t>
      </w:r>
    </w:p>
    <w:p>
      <w:pPr>
        <w:pStyle w:val="FirstParagraph"/>
      </w:pPr>
      <w:r>
        <w:t xml:space="preserve">This article asked whether online Chinese teaching can fail as delivery even when the content of the course remains appropriate. In this sample the answer is that it can. Respondents reporting online Chinese-language courses also reported household infrastructure problems and uneven platform access. Those conditions co-occurred with selecting</w:t>
      </w:r>
      <w:r>
        <w:t xml:space="preserve"> </w:t>
      </w:r>
      <w:r>
        <w:t xml:space="preserve">“</w:t>
      </w:r>
      <w:r>
        <w:t xml:space="preserve">very high stress</w:t>
      </w:r>
      <w:r>
        <w:t xml:space="preserve">”</w:t>
      </w:r>
      <w:r>
        <w:t xml:space="preserve"> </w:t>
      </w:r>
      <w:r>
        <w:t xml:space="preserve">and with more negative appraisals of online learning. Later work on online language teaching and online ICLE supplies the lenses. The questionnaire identifies learner-side conditions that online Chinese teaching would need to address. That answer is bounded by N = 38 and by data collected during emergency remote teaching (Section 3.1). Whether later hybrid arrangements have closed the gap is a question this study cannot answer. The problem it can settle, for this sample, is the more basic one: online Chinese teaching is not only a content problem. It is also a delivery problem.</w:t>
      </w:r>
    </w:p>
    <w:bookmarkEnd w:id="41"/>
    <w:bookmarkStart w:id="42" w:name="appendix-a.-appraisal-items-and-coding"/>
    <w:p>
      <w:pPr>
        <w:pStyle w:val="Heading2"/>
      </w:pPr>
      <w:r>
        <w:t xml:space="preserve">Appendix A. Appraisal items and coding</w:t>
      </w:r>
    </w:p>
    <w:p>
      <w:pPr>
        <w:pStyle w:val="FirstParagraph"/>
      </w:pPr>
      <w:r>
        <w:t xml:space="preserve">English glosses of the Chinese stems.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Stem (gloss)</w:t>
            </w:r>
          </w:p>
        </w:tc>
        <w:tc>
          <w:tcPr/>
          <w:p>
            <w:pPr>
              <w:pStyle w:val="Compact"/>
              <w:jc w:val="left"/>
            </w:pPr>
            <w:r>
              <w:t xml:space="preserve">1</w:t>
            </w:r>
          </w:p>
        </w:tc>
        <w:tc>
          <w:tcPr/>
          <w:p>
            <w:pPr>
              <w:pStyle w:val="Compact"/>
              <w:jc w:val="left"/>
            </w:pPr>
            <w:r>
              <w:t xml:space="preserve">Higher</w:t>
            </w:r>
          </w:p>
        </w:tc>
      </w:tr>
      <w:tr>
        <w:tc>
          <w:tcPr/>
          <w:p>
            <w:pPr>
              <w:pStyle w:val="Compact"/>
              <w:jc w:val="left"/>
            </w:pPr>
            <w:r>
              <w:t xml:space="preserve">Learned (Q8)</w:t>
            </w:r>
          </w:p>
        </w:tc>
        <w:tc>
          <w:tcPr/>
          <w:p>
            <w:pPr>
              <w:pStyle w:val="Compact"/>
              <w:jc w:val="left"/>
            </w:pPr>
            <w:r>
              <w:t xml:space="preserve">Can you learn a lot in online class?</w:t>
            </w:r>
          </w:p>
        </w:tc>
        <w:tc>
          <w:tcPr/>
          <w:p>
            <w:pPr>
              <w:pStyle w:val="Compact"/>
              <w:jc w:val="left"/>
            </w:pPr>
            <w:r>
              <w:t xml:space="preserve">a lot</w:t>
            </w:r>
          </w:p>
        </w:tc>
        <w:tc>
          <w:tcPr/>
          <w:p>
            <w:pPr>
              <w:pStyle w:val="Compact"/>
              <w:jc w:val="left"/>
            </w:pPr>
            <w:r>
              <w:t xml:space="preserve">worse appraisal</w:t>
            </w:r>
          </w:p>
        </w:tc>
      </w:tr>
      <w:tr>
        <w:tc>
          <w:tcPr/>
          <w:p>
            <w:pPr>
              <w:pStyle w:val="Compact"/>
              <w:jc w:val="left"/>
            </w:pPr>
            <w:r>
              <w:t xml:space="preserve">Improve (Q9)</w:t>
            </w:r>
          </w:p>
        </w:tc>
        <w:tc>
          <w:tcPr/>
          <w:p>
            <w:pPr>
              <w:pStyle w:val="Compact"/>
              <w:jc w:val="left"/>
            </w:pPr>
            <w:r>
              <w:t xml:space="preserve">Can online study improve Chinese?</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Interest (Q10)</w:t>
            </w:r>
          </w:p>
        </w:tc>
        <w:tc>
          <w:tcPr/>
          <w:p>
            <w:pPr>
              <w:pStyle w:val="Compact"/>
              <w:jc w:val="left"/>
            </w:pPr>
            <w:r>
              <w:t xml:space="preserve">Does it spark learning interest?</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Speed (Q14)</w:t>
            </w:r>
          </w:p>
        </w:tc>
        <w:tc>
          <w:tcPr/>
          <w:p>
            <w:pPr>
              <w:pStyle w:val="Compact"/>
              <w:jc w:val="left"/>
            </w:pPr>
            <w:r>
              <w:t xml:space="preserve">Internet speed</w:t>
            </w:r>
          </w:p>
        </w:tc>
        <w:tc>
          <w:tcPr/>
          <w:p>
            <w:pPr>
              <w:pStyle w:val="Compact"/>
              <w:jc w:val="left"/>
            </w:pPr>
            <w:r>
              <w:t xml:space="preserve">very good</w:t>
            </w:r>
          </w:p>
        </w:tc>
        <w:tc>
          <w:tcPr/>
          <w:p>
            <w:pPr>
              <w:pStyle w:val="Compact"/>
              <w:jc w:val="left"/>
            </w:pPr>
            <w:r>
              <w:t xml:space="preserve">worse speed</w:t>
            </w:r>
          </w:p>
        </w:tc>
      </w:tr>
      <w:tr>
        <w:tc>
          <w:tcPr/>
          <w:p>
            <w:pPr>
              <w:pStyle w:val="Compact"/>
              <w:jc w:val="left"/>
            </w:pPr>
            <w:r>
              <w:t xml:space="preserve">Stress (Q24)</w:t>
            </w:r>
          </w:p>
        </w:tc>
        <w:tc>
          <w:tcPr/>
          <w:p>
            <w:pPr>
              <w:pStyle w:val="Compact"/>
              <w:jc w:val="left"/>
            </w:pPr>
            <w:r>
              <w:t xml:space="preserve">Psychological stress</w:t>
            </w:r>
          </w:p>
        </w:tc>
        <w:tc>
          <w:tcPr/>
          <w:p>
            <w:pPr>
              <w:pStyle w:val="Compact"/>
              <w:jc w:val="left"/>
            </w:pPr>
            <w:r>
              <w:t xml:space="preserve">very high</w:t>
            </w:r>
          </w:p>
        </w:tc>
        <w:tc>
          <w:tcPr/>
          <w:p>
            <w:pPr>
              <w:pStyle w:val="Compact"/>
              <w:jc w:val="left"/>
            </w:pPr>
            <w:r>
              <w:t xml:space="preserve">less stress</w:t>
            </w:r>
          </w:p>
        </w:tc>
      </w:tr>
      <w:tr>
        <w:tc>
          <w:tcPr/>
          <w:p>
            <w:pPr>
              <w:pStyle w:val="Compact"/>
              <w:jc w:val="left"/>
            </w:pPr>
            <w:r>
              <w:t xml:space="preserve">Interaction (Q25)</w:t>
            </w:r>
          </w:p>
        </w:tc>
        <w:tc>
          <w:tcPr/>
          <w:p>
            <w:pPr>
              <w:pStyle w:val="Compact"/>
              <w:jc w:val="left"/>
            </w:pPr>
            <w:r>
              <w:t xml:space="preserve">Active interaction with teacher</w:t>
            </w:r>
          </w:p>
        </w:tc>
        <w:tc>
          <w:tcPr/>
          <w:p>
            <w:pPr>
              <w:pStyle w:val="Compact"/>
              <w:jc w:val="left"/>
            </w:pPr>
            <w:r>
              <w:t xml:space="preserve">very much</w:t>
            </w:r>
          </w:p>
        </w:tc>
        <w:tc>
          <w:tcPr/>
          <w:p>
            <w:pPr>
              <w:pStyle w:val="Compact"/>
              <w:jc w:val="left"/>
            </w:pPr>
            <w:r>
              <w:t xml:space="preserve">thinner interaction</w:t>
            </w:r>
          </w:p>
        </w:tc>
      </w:tr>
    </w:tbl>
    <w:p>
      <w:pPr>
        <w:pStyle w:val="BodyText"/>
      </w:pPr>
      <w:r>
        <w:t xml:space="preserve">Index = mean of Q8, Q9, and Q10 (n = 38; no missing on these three).</w:t>
      </w:r>
    </w:p>
    <w:bookmarkEnd w:id="42"/>
    <w:bookmarkStart w:id="43" w:name="appendix-b.-secondary-statistics"/>
    <w:p>
      <w:pPr>
        <w:pStyle w:val="Heading2"/>
      </w:pPr>
      <w:r>
        <w:t xml:space="preserve">Appendix B. Secondary statistics</w:t>
      </w:r>
    </w:p>
    <w:p>
      <w:pPr>
        <w:pStyle w:val="FirstParagraph"/>
      </w:pPr>
      <w:r>
        <w:t xml:space="preserve">See</w:t>
      </w:r>
      <w:r>
        <w:t xml:space="preserve"> </w:t>
      </w:r>
      <w:r>
        <w:rPr>
          <w:rStyle w:val="VerbatimChar"/>
        </w:rPr>
        <w:t xml:space="preserve">analysis/supplementary_stats.md</w:t>
      </w:r>
      <w:r>
        <w:t xml:space="preserve"> </w:t>
      </w:r>
      <w:r>
        <w:t xml:space="preserve">for full tables. Summary: female × cannot-replace and learned-little × cannot-replace have identical cell counts (9/11 vs 10/27; Fisher’s exact</w:t>
      </w:r>
      <w:r>
        <w:t xml:space="preserve"> </w:t>
      </w:r>
      <w:r>
        <w:rPr>
          <w:iCs/>
          <w:i/>
        </w:rPr>
        <w:t xml:space="preserve">p</w:t>
      </w:r>
      <w:r>
        <w:t xml:space="preserve"> </w:t>
      </w:r>
      <w:r>
        <w:t xml:space="preserve">= .029). Poor internet × cannot-replace: 8/10 vs 11/28, Fisher’s exact</w:t>
      </w:r>
      <w:r>
        <w:t xml:space="preserve"> </w:t>
      </w:r>
      <w:r>
        <w:rPr>
          <w:iCs/>
          <w:i/>
        </w:rPr>
        <w:t xml:space="preserve">p</w:t>
      </w:r>
      <w:r>
        <w:t xml:space="preserve"> </w:t>
      </w:r>
      <w:r>
        <w:t xml:space="preserve">= .062. Mann–Whitney tests by gender on ordinals all had</w:t>
      </w:r>
      <w:r>
        <w:t xml:space="preserve"> </w:t>
      </w:r>
      <w:r>
        <w:rPr>
          <w:iCs/>
          <w:i/>
        </w:rPr>
        <w:t xml:space="preserve">p</w:t>
      </w:r>
      <w:r>
        <w:t xml:space="preserve"> </w:t>
      </w:r>
      <w:r>
        <w:t xml:space="preserve">≥ .36.</w:t>
      </w:r>
    </w:p>
    <w:bookmarkEnd w:id="43"/>
    <w:bookmarkStart w:id="44" w:name="references"/>
    <w:p>
      <w:pPr>
        <w:pStyle w:val="Heading2"/>
      </w:pPr>
      <w:r>
        <w:t xml:space="preserve">References</w:t>
      </w:r>
    </w:p>
    <w:p>
      <w:pPr>
        <w:pStyle w:val="FirstParagraph"/>
      </w:pPr>
      <w:r>
        <w:t xml:space="preserve">Adedoyin, O. B., &amp; Soykan, E. (2020). Covid-19 pandemic and online learning: The challenges and opportunities.</w:t>
      </w:r>
      <w:r>
        <w:t xml:space="preserve"> </w:t>
      </w:r>
      <w:r>
        <w:rPr>
          <w:iCs/>
          <w:i/>
        </w:rPr>
        <w:t xml:space="preserve">Interactive Learning Environments, 31</w:t>
      </w:r>
      <w:r>
        <w:t xml:space="preserve">(2), 863-875. https://doi.org/10.1080/10494820.2020.1813180</w:t>
      </w:r>
    </w:p>
    <w:p>
      <w:pPr>
        <w:pStyle w:val="BodyText"/>
      </w:pPr>
      <w:r>
        <w:t xml:space="preserve">Ali, W. (2020). Online and remote learning in higher education institutes: A necessity in light of COVID-19 pandemic.</w:t>
      </w:r>
      <w:r>
        <w:t xml:space="preserve"> </w:t>
      </w:r>
      <w:r>
        <w:rPr>
          <w:iCs/>
          <w:i/>
        </w:rPr>
        <w:t xml:space="preserve">Higher Education Studies, 10</w:t>
      </w:r>
      <w:r>
        <w:t xml:space="preserve">(3), 16-25. https://doi.org/10.5539/hes.v10n3p16</w:t>
      </w:r>
    </w:p>
    <w:p>
      <w:pPr>
        <w:pStyle w:val="BodyText"/>
      </w:pPr>
      <w:r>
        <w:t xml:space="preserve">Beaunoyer, E., Dupéré, S., &amp; Guitton, M. J. (2020). COVID-19 and digital inequalities: Reciprocal impacts and mitigation strategies.</w:t>
      </w:r>
      <w:r>
        <w:t xml:space="preserve"> </w:t>
      </w:r>
      <w:r>
        <w:rPr>
          <w:iCs/>
          <w:i/>
        </w:rPr>
        <w:t xml:space="preserve">Computers in Human Behavior, 111</w:t>
      </w:r>
      <w:r>
        <w:t xml:space="preserve">, Article 106424. https://doi.org/10.1016/j.chb.2020.106424</w:t>
      </w:r>
    </w:p>
    <w:p>
      <w:pPr>
        <w:pStyle w:val="BodyText"/>
      </w:pPr>
      <w:r>
        <w:t xml:space="preserve">Bond, M., Bedenlier, S., Marín, V. I., &amp; Händel, M. (2021). Emergency remote teaching in higher education: Mapping the first global online semester.</w:t>
      </w:r>
      <w:r>
        <w:t xml:space="preserve"> </w:t>
      </w:r>
      <w:r>
        <w:rPr>
          <w:iCs/>
          <w:i/>
        </w:rPr>
        <w:t xml:space="preserve">International Journal of Educational Technology in Higher Education, 18</w:t>
      </w:r>
      <w:r>
        <w:t xml:space="preserve">(1), Article 50. https://doi.org/10.1186/s41239-021-00282-x</w:t>
      </w:r>
    </w:p>
    <w:p>
      <w:pPr>
        <w:pStyle w:val="BodyText"/>
      </w:pPr>
      <w:r>
        <w:t xml:space="preserve">Butt, A., &amp; Sadaf, M. (2026). Getting around the digital horizon: Recognizing multifaceted digital divide among university students in Pakistan.</w:t>
      </w:r>
      <w:r>
        <w:t xml:space="preserve"> </w:t>
      </w:r>
      <w:r>
        <w:rPr>
          <w:iCs/>
          <w:i/>
        </w:rPr>
        <w:t xml:space="preserve">Journal of the Knowledge Economy, 17</w:t>
      </w:r>
      <w:r>
        <w:t xml:space="preserve">(4), 9567-9590. https://doi.org/10.1007/s13132-026-03164-7</w:t>
      </w:r>
    </w:p>
    <w:p>
      <w:pPr>
        <w:pStyle w:val="BodyText"/>
      </w:pPr>
      <w:r>
        <w:t xml:space="preserve">Canagarajah, A. S. (Ed.). (2005).</w:t>
      </w:r>
      <w:r>
        <w:t xml:space="preserve"> </w:t>
      </w:r>
      <w:r>
        <w:rPr>
          <w:iCs/>
          <w:i/>
        </w:rPr>
        <w:t xml:space="preserve">Reclaiming the local in language policy and practice</w:t>
      </w:r>
      <w:r>
        <w:t xml:space="preserve">. Lawrence Erlbaum.</w:t>
      </w:r>
    </w:p>
    <w:p>
      <w:pPr>
        <w:pStyle w:val="BodyText"/>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Gao, X., &amp; Hua, Z. (2021). Experiencing Chinese education: Learning of language and culture by international students in Chinese universities.</w:t>
      </w:r>
      <w:r>
        <w:t xml:space="preserve"> </w:t>
      </w:r>
      <w:r>
        <w:rPr>
          <w:iCs/>
          <w:i/>
        </w:rPr>
        <w:t xml:space="preserve">Language, Culture and Curriculum, 34</w:t>
      </w:r>
      <w:r>
        <w:t xml:space="preserve">(4), 353-359. https://doi.org/10.1080/07908318.2020.1871002</w:t>
      </w:r>
    </w:p>
    <w:p>
      <w:pPr>
        <w:pStyle w:val="BodyText"/>
      </w:pPr>
      <w:r>
        <w:t xml:space="preserve">Gong, Y., Gao, X., Li, M., &amp; Lai, C. (2020a). Cultural adaptation challenges and strategies during study abroad: New Zealand students in China.</w:t>
      </w:r>
      <w:r>
        <w:t xml:space="preserve"> </w:t>
      </w:r>
      <w:r>
        <w:rPr>
          <w:iCs/>
          <w:i/>
        </w:rPr>
        <w:t xml:space="preserve">Language, Culture and Curriculum, 34</w:t>
      </w:r>
      <w:r>
        <w:t xml:space="preserve">(4), 417-437. https://doi.org/10.1080/07908318.2020.1856129</w:t>
      </w:r>
    </w:p>
    <w:p>
      <w:pPr>
        <w:pStyle w:val="BodyText"/>
      </w:pPr>
      <w:r>
        <w:t xml:space="preserve">Gong, Y., Gao, X., &amp; Lyu, B. (2020b). Teaching Chinese as a second or foreign language to non-Chinese learners in mainland China (2014-2018).</w:t>
      </w:r>
      <w:r>
        <w:t xml:space="preserve"> </w:t>
      </w:r>
      <w:r>
        <w:rPr>
          <w:iCs/>
          <w:i/>
        </w:rPr>
        <w:t xml:space="preserve">Language Teaching, 53</w:t>
      </w:r>
      <w:r>
        <w:t xml:space="preserve">(1), 44-62. https://doi.org/10.1017/S0261444819000387</w:t>
      </w:r>
    </w:p>
    <w:p>
      <w:pPr>
        <w:pStyle w:val="BodyText"/>
      </w:pPr>
      <w:r>
        <w:t xml:space="preserve">González-Lloret, M. (2020). Collaborative tasks for online language teaching.</w:t>
      </w:r>
      <w:r>
        <w:t xml:space="preserve"> </w:t>
      </w:r>
      <w:r>
        <w:rPr>
          <w:iCs/>
          <w:i/>
        </w:rPr>
        <w:t xml:space="preserve">Foreign Language Annals, 53</w:t>
      </w:r>
      <w:r>
        <w:t xml:space="preserve">(2), 260-269. https://doi.org/10.1111/flan.12466</w:t>
      </w:r>
    </w:p>
    <w:p>
      <w:pPr>
        <w:pStyle w:val="BodyText"/>
      </w:pPr>
      <w:r>
        <w:t xml:space="preserve">Guenier, A. W., Xing, M., &amp; Yan, J. (2026). From barriers to breakthroughs: Communicating Chinese culture to Irish learners with a multimodality online course.</w:t>
      </w:r>
      <w:r>
        <w:t xml:space="preserve"> </w:t>
      </w:r>
      <w:r>
        <w:rPr>
          <w:iCs/>
          <w:i/>
        </w:rPr>
        <w:t xml:space="preserve">Language, Culture and Curriculum</w:t>
      </w:r>
      <w:r>
        <w:t xml:space="preserve">. Advance online publication. https://doi.org/10.1080/07908318.2026.2626775</w:t>
      </w:r>
    </w:p>
    <w:p>
      <w:pPr>
        <w:pStyle w:val="BodyText"/>
      </w:pPr>
      <w:r>
        <w:t xml:space="preserve">Guerrettaz, A. M., Engman, M. M., &amp; Matsumoto, Y. (2021). Empirically defining language learning and teaching materials in use through sociomaterial perspectives.</w:t>
      </w:r>
      <w:r>
        <w:t xml:space="preserve"> </w:t>
      </w:r>
      <w:r>
        <w:rPr>
          <w:iCs/>
          <w:i/>
        </w:rPr>
        <w:t xml:space="preserve">The Modern Language Journal, 105</w:t>
      </w:r>
      <w:r>
        <w:t xml:space="preserve">(S1), 3-20. https://doi.org/10.1111/modl.12691</w:t>
      </w:r>
    </w:p>
    <w:p>
      <w:pPr>
        <w:pStyle w:val="BodyText"/>
      </w:pPr>
      <w:r>
        <w:t xml:space="preserve">Guo, C., &amp; Wan, B. (2022). The digital divide in online learning in China during the COVID-19 pandemic.</w:t>
      </w:r>
      <w:r>
        <w:t xml:space="preserve"> </w:t>
      </w:r>
      <w:r>
        <w:rPr>
          <w:iCs/>
          <w:i/>
        </w:rPr>
        <w:t xml:space="preserve">Technology in Society, 71</w:t>
      </w:r>
      <w:r>
        <w:t xml:space="preserve">, Article 102122. https://doi.org/10.1016/j.techsoc.2022.102122</w:t>
      </w:r>
    </w:p>
    <w:p>
      <w:pPr>
        <w:pStyle w:val="BodyText"/>
      </w:pPr>
      <w:r>
        <w:t xml:space="preserve">Helsper, E. (2021).</w:t>
      </w:r>
      <w:r>
        <w:t xml:space="preserve"> </w:t>
      </w:r>
      <w:r>
        <w:rPr>
          <w:iCs/>
          <w:i/>
        </w:rPr>
        <w:t xml:space="preserve">The digital disconnect: The social causes and consequences of digital inequalities</w:t>
      </w:r>
      <w:r>
        <w:t xml:space="preserve">. SAGE.</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Jamil, S., &amp; Muschert, G. (2023). The COVID-19 pandemic and e-learning: The digital divide and educational crises in Pakistan’s universities.</w:t>
      </w:r>
      <w:r>
        <w:t xml:space="preserve"> </w:t>
      </w:r>
      <w:r>
        <w:rPr>
          <w:iCs/>
          <w:i/>
        </w:rPr>
        <w:t xml:space="preserve">American Behavioral Scientist, 68</w:t>
      </w:r>
      <w:r>
        <w:t xml:space="preserve">(9), 1161-1179. https://doi.org/10.1177/00027642231156779</w:t>
      </w:r>
    </w:p>
    <w:p>
      <w:pPr>
        <w:pStyle w:val="BodyText"/>
      </w:pPr>
      <w:r>
        <w:t xml:space="preserve">Jin, L., Xu, Y., &amp; Deifell, E. (2023). College-level world language faculty background characteristics and their perceptions of online language teaching during the pandemic.</w:t>
      </w:r>
      <w:r>
        <w:t xml:space="preserve"> </w:t>
      </w:r>
      <w:r>
        <w:rPr>
          <w:iCs/>
          <w:i/>
        </w:rPr>
        <w:t xml:space="preserve">Foreign Language Annals, 57</w:t>
      </w:r>
      <w:r>
        <w:t xml:space="preserve">(1), 137-162. https://doi.org/10.1111/flan.12689</w:t>
      </w:r>
    </w:p>
    <w:p>
      <w:pPr>
        <w:pStyle w:val="BodyText"/>
      </w:pPr>
      <w:r>
        <w:t xml:space="preserve">Kumaravadivelu, B. (2001). Toward a postmethod pedagogy.</w:t>
      </w:r>
      <w:r>
        <w:t xml:space="preserve"> </w:t>
      </w:r>
      <w:r>
        <w:rPr>
          <w:iCs/>
          <w:i/>
        </w:rPr>
        <w:t xml:space="preserve">TESOL Quarterly, 35</w:t>
      </w:r>
      <w:r>
        <w:t xml:space="preserve">(4), 537-560. https://doi.org/10.2307/3588427</w:t>
      </w:r>
    </w:p>
    <w:p>
      <w:pPr>
        <w:pStyle w:val="BodyText"/>
      </w:pPr>
      <w:r>
        <w:t xml:space="preserve">Lam, K. Y. (2024). At the intersection of multiliteracies and glocalisation: A case study in a university in Taiwan.</w:t>
      </w:r>
      <w:r>
        <w:t xml:space="preserve"> </w:t>
      </w:r>
      <w:r>
        <w:rPr>
          <w:iCs/>
          <w:i/>
        </w:rPr>
        <w:t xml:space="preserve">Language, Culture and Curriculum, 37</w:t>
      </w:r>
      <w:r>
        <w:t xml:space="preserve">(4), 472-496. https://doi.org/10.1080/07908318.2024.2354874</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Article 255. https://doi.org/10.5539/jel.v13n4p255</w:t>
      </w:r>
    </w:p>
    <w:p>
      <w:pPr>
        <w:pStyle w:val="BodyText"/>
      </w:pPr>
      <w:r>
        <w:t xml:space="preserve">Lomicka, L. (2020). Creating and sustaining virtual language communities.</w:t>
      </w:r>
      <w:r>
        <w:t xml:space="preserve"> </w:t>
      </w:r>
      <w:r>
        <w:rPr>
          <w:iCs/>
          <w:i/>
        </w:rPr>
        <w:t xml:space="preserve">Foreign Language Annals, 53</w:t>
      </w:r>
      <w:r>
        <w:t xml:space="preserve">(2), 306-313. https://doi.org/10.1111/flan.12456</w:t>
      </w:r>
    </w:p>
    <w:p>
      <w:pPr>
        <w:pStyle w:val="BodyText"/>
      </w:pPr>
      <w:r>
        <w:t xml:space="preserve">Lu, X., Tan, A., Ma, Y., Feng, H., &amp; Hanif, B. (2024). Scenario analysis of localization and adaptation of Chinese language teaching.</w:t>
      </w:r>
      <w:r>
        <w:t xml:space="preserve"> </w:t>
      </w:r>
      <w:r>
        <w:rPr>
          <w:iCs/>
          <w:i/>
        </w:rPr>
        <w:t xml:space="preserve">Pakistan Journal of Humanities and Social Sciences, 12</w:t>
      </w:r>
      <w:r>
        <w:t xml:space="preserve">(4), 3257-3281. https://doi.org/10.52131/pjhss.2024.v12i4.2553</w:t>
      </w:r>
    </w:p>
    <w:p>
      <w:pPr>
        <w:pStyle w:val="BodyText"/>
      </w:pPr>
      <w:r>
        <w:t xml:space="preserve">Ma, X., Gong, Y., Gao, X., &amp; Xiang, Y. (2017). The teaching of Chinese as a second or foreign language: A systematic review of the literature 2005-2015.</w:t>
      </w:r>
      <w:r>
        <w:t xml:space="preserve"> </w:t>
      </w:r>
      <w:r>
        <w:rPr>
          <w:iCs/>
          <w:i/>
        </w:rPr>
        <w:t xml:space="preserve">Journal of Multilingual and Multicultural Development, 38</w:t>
      </w:r>
      <w:r>
        <w:t xml:space="preserve">(9), 815-830. https://doi.org/10.1080/01434632.2016.1268146</w:t>
      </w:r>
    </w:p>
    <w:p>
      <w:pPr>
        <w:pStyle w:val="BodyText"/>
      </w:pPr>
      <w:r>
        <w:t xml:space="preserve">MacIntyre, P. D., Gregersen, T., &amp; Mercer, S. (2020). Language teachers’ coping strategies during the Covid-19 conversion to online teaching: Correlations with stress, wellbeing and negative emotions.</w:t>
      </w:r>
      <w:r>
        <w:t xml:space="preserve"> </w:t>
      </w:r>
      <w:r>
        <w:rPr>
          <w:iCs/>
          <w:i/>
        </w:rPr>
        <w:t xml:space="preserve">System, 94</w:t>
      </w:r>
      <w:r>
        <w:t xml:space="preserve">, Article 102352. https://doi.org/10.1016/j.system.2020.102352</w:t>
      </w:r>
    </w:p>
    <w:p>
      <w:pPr>
        <w:pStyle w:val="BodyText"/>
      </w:pPr>
      <w:r>
        <w:t xml:space="preserve">McDonough, J., &amp; Shaw, C. (2003).</w:t>
      </w:r>
      <w:r>
        <w:t xml:space="preserve"> </w:t>
      </w:r>
      <w:r>
        <w:rPr>
          <w:iCs/>
          <w:i/>
        </w:rPr>
        <w:t xml:space="preserve">Materials and methods in ELT: A teacher’s guide</w:t>
      </w:r>
      <w:r>
        <w:t xml:space="preserve"> </w:t>
      </w:r>
      <w:r>
        <w:t xml:space="preserve">(2nd ed.). Blackwell.</w:t>
      </w:r>
    </w:p>
    <w:p>
      <w:pPr>
        <w:pStyle w:val="BodyText"/>
      </w:pPr>
      <w:r>
        <w:t xml:space="preserve">Moorhouse, B. L. (2023). Teachers’ digital technology use after a period of online teaching.</w:t>
      </w:r>
      <w:r>
        <w:t xml:space="preserve"> </w:t>
      </w:r>
      <w:r>
        <w:rPr>
          <w:iCs/>
          <w:i/>
        </w:rPr>
        <w:t xml:space="preserve">ELT Journal, 77</w:t>
      </w:r>
      <w:r>
        <w:t xml:space="preserve">(4), 445-457. https://doi.org/10.1093/elt/ccac050</w:t>
      </w:r>
    </w:p>
    <w:p>
      <w:pPr>
        <w:pStyle w:val="BodyText"/>
      </w:pPr>
      <w:r>
        <w:t xml:space="preserve">Moorhouse, B. L., &amp; Kohnke, L. (2021). Responses of the English-language-teaching community to the COVID-19 pandemic.</w:t>
      </w:r>
      <w:r>
        <w:t xml:space="preserve"> </w:t>
      </w:r>
      <w:r>
        <w:rPr>
          <w:iCs/>
          <w:i/>
        </w:rPr>
        <w:t xml:space="preserve">RELC Journal, 52</w:t>
      </w:r>
      <w:r>
        <w:t xml:space="preserve">(3), 359-378. https://doi.org/10.1177/00336882211053052</w:t>
      </w:r>
    </w:p>
    <w:p>
      <w:pPr>
        <w:pStyle w:val="BodyText"/>
      </w:pPr>
      <w:r>
        <w:t xml:space="preserve">Moorhouse, B. L., Wong, K. M., &amp; Li, L. (2023). Teaching with technology in the post-pandemic digital age: Technological normalisation and AI-induced disruptions.</w:t>
      </w:r>
      <w:r>
        <w:t xml:space="preserve"> </w:t>
      </w:r>
      <w:r>
        <w:rPr>
          <w:iCs/>
          <w:i/>
        </w:rPr>
        <w:t xml:space="preserve">RELC Journal, 54</w:t>
      </w:r>
      <w:r>
        <w:t xml:space="preserve">(2), 311-320. https://doi.org/10.1177/00336882231176929</w:t>
      </w:r>
    </w:p>
    <w:p>
      <w:pPr>
        <w:pStyle w:val="BodyText"/>
      </w:pPr>
      <w:r>
        <w:t xml:space="preserve">Moser, K. M., Wei, T., &amp; Brenner, D. (2021). Remote teaching during COVID-19: Implications from a national survey of language educators.</w:t>
      </w:r>
      <w:r>
        <w:t xml:space="preserve"> </w:t>
      </w:r>
      <w:r>
        <w:rPr>
          <w:iCs/>
          <w:i/>
        </w:rPr>
        <w:t xml:space="preserve">System, 97</w:t>
      </w:r>
      <w:r>
        <w:t xml:space="preserve">, Article 102431. https://doi.org/10.1016/j.system.2020.102431</w:t>
      </w:r>
    </w:p>
    <w:p>
      <w:pPr>
        <w:pStyle w:val="BodyText"/>
      </w:pPr>
      <w:r>
        <w:t xml:space="preserve">Payne, J. S. (2020). Developing L2 productive language skills online and the strategic use of instructional tools.</w:t>
      </w:r>
      <w:r>
        <w:t xml:space="preserve"> </w:t>
      </w:r>
      <w:r>
        <w:rPr>
          <w:iCs/>
          <w:i/>
        </w:rPr>
        <w:t xml:space="preserve">Foreign Language Annals, 53</w:t>
      </w:r>
      <w:r>
        <w:t xml:space="preserve">(2), 243-249. https://doi.org/10.1111/flan.12457</w:t>
      </w:r>
    </w:p>
    <w:p>
      <w:pPr>
        <w:pStyle w:val="BodyText"/>
      </w:pPr>
      <w:r>
        <w:t xml:space="preserve">Qi, X. (2025).</w:t>
      </w:r>
      <w:r>
        <w:t xml:space="preserve"> </w:t>
      </w:r>
      <w:r>
        <w:t xml:space="preserve">‘</w:t>
      </w:r>
      <w:r>
        <w:t xml:space="preserve">My speech becomes just a voice, a picture</w:t>
      </w:r>
      <w:r>
        <w:t xml:space="preserve">’</w:t>
      </w:r>
      <w:r>
        <w:t xml:space="preserve">: Exploring language anxiety in Chinese as a second language learning in online environments.</w:t>
      </w:r>
      <w:r>
        <w:t xml:space="preserve"> </w:t>
      </w:r>
      <w:r>
        <w:rPr>
          <w:iCs/>
          <w:i/>
        </w:rPr>
        <w:t xml:space="preserve">Language Teaching Research</w:t>
      </w:r>
      <w:r>
        <w:t xml:space="preserve">. Advance online publication. https://doi.org/10.1177/13621688251387320</w:t>
      </w:r>
    </w:p>
    <w:p>
      <w:pPr>
        <w:pStyle w:val="BodyText"/>
      </w:pPr>
      <w:r>
        <w:t xml:space="preserve">Raza, O., &amp; Hennessy, S. (2025).</w:t>
      </w:r>
      <w:r>
        <w:t xml:space="preserve"> </w:t>
      </w:r>
      <w:r>
        <w:rPr>
          <w:iCs/>
          <w:i/>
        </w:rPr>
        <w:t xml:space="preserve">Exploring the gender differences in technology use for educational purposes at home among students in Pakistan</w:t>
      </w:r>
      <w:r>
        <w:t xml:space="preserve">. EdTech Hub. https://doi.org/10.53832/edtechhub.1099</w:t>
      </w:r>
    </w:p>
    <w:p>
      <w:pPr>
        <w:pStyle w:val="BodyText"/>
      </w:pPr>
      <w:r>
        <w:t xml:space="preserve">Russell, V. (2020). Language anxiety and the online learner.</w:t>
      </w:r>
      <w:r>
        <w:t xml:space="preserve"> </w:t>
      </w:r>
      <w:r>
        <w:rPr>
          <w:iCs/>
          <w:i/>
        </w:rPr>
        <w:t xml:space="preserve">Foreign Language Annals, 53</w:t>
      </w:r>
      <w:r>
        <w:t xml:space="preserve">(2), 338-352. https://doi.org/10.1111/flan.12461</w:t>
      </w:r>
    </w:p>
    <w:p>
      <w:pPr>
        <w:pStyle w:val="BodyText"/>
      </w:pPr>
      <w:r>
        <w:t xml:space="preserve">Shan, Z., &amp; Xu, H. (2024). Students’ conceptions and experiences of institutionalised curriculum for multilingual learning: The case of a dual-foreign-languages programme.</w:t>
      </w:r>
      <w:r>
        <w:t xml:space="preserve"> </w:t>
      </w:r>
      <w:r>
        <w:rPr>
          <w:iCs/>
          <w:i/>
        </w:rPr>
        <w:t xml:space="preserve">Language, Culture and Curriculum, 37</w:t>
      </w:r>
      <w:r>
        <w:t xml:space="preserve">(2), 230-246. https://doi.org/10.1080/07908318.2024.2313984</w:t>
      </w:r>
    </w:p>
    <w:p>
      <w:pPr>
        <w:pStyle w:val="BodyText"/>
      </w:pPr>
      <w:r>
        <w:t xml:space="preserve">Stockwell, G., &amp; Wang, Y. (2023). Exploring the challenges of technology in language teaching in the aftermath of the pandemic.</w:t>
      </w:r>
      <w:r>
        <w:t xml:space="preserve"> </w:t>
      </w:r>
      <w:r>
        <w:rPr>
          <w:iCs/>
          <w:i/>
        </w:rPr>
        <w:t xml:space="preserve">RELC Journal, 54</w:t>
      </w:r>
      <w:r>
        <w:t xml:space="preserve">(2), 474-482. https://doi.org/10.1177/00336882231168438</w:t>
      </w:r>
    </w:p>
    <w:p>
      <w:pPr>
        <w:pStyle w:val="BodyText"/>
      </w:pPr>
      <w:r>
        <w:t xml:space="preserve">Tao, J., &amp; Gao, X. (2022). Teaching and learning languages online: Challenges and responses.</w:t>
      </w:r>
      <w:r>
        <w:t xml:space="preserve"> </w:t>
      </w:r>
      <w:r>
        <w:rPr>
          <w:iCs/>
          <w:i/>
        </w:rPr>
        <w:t xml:space="preserve">System, 107</w:t>
      </w:r>
      <w:r>
        <w:t xml:space="preserve">, Article 102819. https://doi.org/10.1016/j.system.2022.102819</w:t>
      </w:r>
    </w:p>
    <w:p>
      <w:pPr>
        <w:pStyle w:val="BodyText"/>
      </w:pPr>
      <w:r>
        <w:t xml:space="preserve">Tomlinson, B. (Ed.). (2011).</w:t>
      </w:r>
      <w:r>
        <w:t xml:space="preserve"> </w:t>
      </w:r>
      <w:r>
        <w:rPr>
          <w:iCs/>
          <w:i/>
        </w:rPr>
        <w:t xml:space="preserve">Materials development in language teaching</w:t>
      </w:r>
      <w:r>
        <w:t xml:space="preserve"> </w:t>
      </w:r>
      <w:r>
        <w:t xml:space="preserve">(2nd ed.). Cambridge University Press.</w:t>
      </w:r>
    </w:p>
    <w:p>
      <w:pPr>
        <w:pStyle w:val="BodyText"/>
      </w:pPr>
      <w:r>
        <w:t xml:space="preserve">Tu, M. (2026). Time and precarity in</w:t>
      </w:r>
      <w:r>
        <w:t xml:space="preserve"> </w:t>
      </w:r>
      <w:r>
        <w:t xml:space="preserve">‘</w:t>
      </w:r>
      <w:r>
        <w:t xml:space="preserve">South–South</w:t>
      </w:r>
      <w:r>
        <w:t xml:space="preserve">’</w:t>
      </w:r>
      <w:r>
        <w:t xml:space="preserve"> </w:t>
      </w:r>
      <w:r>
        <w:t xml:space="preserve">academic mobility: A 2019–2023 longitudinal study of Pakistani PhD students and recent graduates in China.</w:t>
      </w:r>
      <w:r>
        <w:t xml:space="preserve"> </w:t>
      </w:r>
      <w:r>
        <w:rPr>
          <w:iCs/>
          <w:i/>
        </w:rPr>
        <w:t xml:space="preserve">Population, Space and Place, 32</w:t>
      </w:r>
      <w:r>
        <w:t xml:space="preserve">(2), Article e70227. https://doi.org/10.1002/psp.70227</w:t>
      </w:r>
    </w:p>
    <w:p>
      <w:pPr>
        <w:pStyle w:val="BodyText"/>
      </w:pPr>
      <w:r>
        <w:t xml:space="preserve">van Dijk, J. (2020).</w:t>
      </w:r>
      <w:r>
        <w:t xml:space="preserve"> </w:t>
      </w:r>
      <w:r>
        <w:rPr>
          <w:iCs/>
          <w:i/>
        </w:rPr>
        <w:t xml:space="preserve">The digital divide</w:t>
      </w:r>
      <w:r>
        <w:t xml:space="preserve">. Polity.</w:t>
      </w:r>
    </w:p>
    <w:p>
      <w:pPr>
        <w:pStyle w:val="BodyText"/>
      </w:pPr>
      <w:r>
        <w:t xml:space="preserve">van Lier, L. (2004).</w:t>
      </w:r>
      <w:r>
        <w:t xml:space="preserve"> </w:t>
      </w:r>
      <w:r>
        <w:rPr>
          <w:iCs/>
          <w:i/>
        </w:rPr>
        <w:t xml:space="preserve">The ecology and semiotics of language learning: A sociocultural perspective</w:t>
      </w:r>
      <w:r>
        <w:t xml:space="preserve">. Kluwer.</w:t>
      </w:r>
    </w:p>
    <w:p>
      <w:pPr>
        <w:pStyle w:val="BodyText"/>
      </w:pPr>
      <w:r>
        <w:t xml:space="preserve">Vishnu, S., Tengli, M. B., Ramadas, S., Sathyan, A. R., &amp; Bhatt, A. (2024). Bridging the divide: Assessing digital infrastructure for higher education online learning.</w:t>
      </w:r>
      <w:r>
        <w:t xml:space="preserve"> </w:t>
      </w:r>
      <w:r>
        <w:rPr>
          <w:iCs/>
          <w:i/>
        </w:rPr>
        <w:t xml:space="preserve">TechTrends, 68</w:t>
      </w:r>
      <w:r>
        <w:t xml:space="preserve">(6), 1107-1116. https://doi.org/10.1007/s11528-024-00997-4</w:t>
      </w:r>
    </w:p>
    <w:p>
      <w:pPr>
        <w:pStyle w:val="BodyText"/>
      </w:pPr>
      <w:r>
        <w:t xml:space="preserve">Warschauer, M. (2003).</w:t>
      </w:r>
      <w:r>
        <w:t xml:space="preserve"> </w:t>
      </w:r>
      <w:r>
        <w:rPr>
          <w:iCs/>
          <w:i/>
        </w:rPr>
        <w:t xml:space="preserve">Technology and social inclusion: Rethinking the digital divide</w:t>
      </w:r>
      <w:r>
        <w:t xml:space="preserve">. MIT Press.</w:t>
      </w:r>
    </w:p>
    <w:p>
      <w:pPr>
        <w:pStyle w:val="BodyText"/>
      </w:pPr>
      <w:r>
        <w:t xml:space="preserve">Wen, X., &amp; Liu, F. (2025). Emotional dynamics of advanced Chinese as a second language learners: A Q methodology study.</w:t>
      </w:r>
      <w:r>
        <w:t xml:space="preserve"> </w:t>
      </w:r>
      <w:r>
        <w:rPr>
          <w:iCs/>
          <w:i/>
        </w:rPr>
        <w:t xml:space="preserve">Language, Culture and Curriculum, 38</w:t>
      </w:r>
      <w:r>
        <w:t xml:space="preserve">(3), 380-400. https://doi.org/10.1080/07908318.2025.2486449</w:t>
      </w:r>
    </w:p>
    <w:p>
      <w:pPr>
        <w:pStyle w:val="BodyText"/>
      </w:pPr>
      <w:r>
        <w:t xml:space="preserve">White, C. (2006). Distance learning of foreign languages.</w:t>
      </w:r>
      <w:r>
        <w:t xml:space="preserve"> </w:t>
      </w:r>
      <w:r>
        <w:rPr>
          <w:iCs/>
          <w:i/>
        </w:rPr>
        <w:t xml:space="preserve">Language Teaching, 39</w:t>
      </w:r>
      <w:r>
        <w:t xml:space="preserve">(4), 247-264. https://doi.org/10.1017/S0261444806003727</w:t>
      </w:r>
    </w:p>
    <w:p>
      <w:pPr>
        <w:pStyle w:val="BodyText"/>
      </w:pPr>
      <w:r>
        <w:t xml:space="preserve">Xia, Y., Hu, Y., Wu, C., Yang, L., &amp; Lei, M. (2022). Challenges of online learning amid the COVID-19: College students’ perspective.</w:t>
      </w:r>
      <w:r>
        <w:t xml:space="preserve"> </w:t>
      </w:r>
      <w:r>
        <w:rPr>
          <w:iCs/>
          <w:i/>
        </w:rPr>
        <w:t xml:space="preserve">Frontiers in Psychology, 13</w:t>
      </w:r>
      <w:r>
        <w:t xml:space="preserve">, 1037311. https://doi.org/10.3389/fpsyg.2022.1037311</w:t>
      </w:r>
    </w:p>
    <w:p>
      <w:pPr>
        <w:pStyle w:val="BodyText"/>
      </w:pPr>
      <w:r>
        <w:t xml:space="preserve">Xu, B. (2024). Technology integration into Chinese as a foreign language learning in higher education: An integrated bibliometric analysis and systematic review (2000–2024).</w:t>
      </w:r>
      <w:r>
        <w:t xml:space="preserve"> </w:t>
      </w:r>
      <w:r>
        <w:rPr>
          <w:iCs/>
          <w:i/>
        </w:rPr>
        <w:t xml:space="preserve">Language Teaching Research</w:t>
      </w:r>
      <w:r>
        <w:t xml:space="preserve">. Advance online publication. https://doi.org/10.1177/13621688241277911</w:t>
      </w:r>
    </w:p>
    <w:p>
      <w:pPr>
        <w:pStyle w:val="BodyText"/>
      </w:pPr>
      <w:r>
        <w:t xml:space="preserve">Xu, Y., Jin, L., Deifell, E., &amp; Angus, K. (2022). Facilitating technology-based character learning in emergency remote teaching.</w:t>
      </w:r>
      <w:r>
        <w:t xml:space="preserve"> </w:t>
      </w:r>
      <w:r>
        <w:rPr>
          <w:iCs/>
          <w:i/>
        </w:rPr>
        <w:t xml:space="preserve">Foreign Language Annals, 55</w:t>
      </w:r>
      <w:r>
        <w:t xml:space="preserve">(1), 72-97. https://doi.org/10.1111/flan.12541</w:t>
      </w:r>
    </w:p>
    <w:p>
      <w:pPr>
        <w:pStyle w:val="BodyText"/>
      </w:pPr>
      <w:r>
        <w:t xml:space="preserve">Zhang, M., &amp; Liu, Q. (2023). Synchronous and asynchronous online collaborative writing: A study on Chinese language learners.</w:t>
      </w:r>
      <w:r>
        <w:t xml:space="preserve"> </w:t>
      </w:r>
      <w:r>
        <w:rPr>
          <w:iCs/>
          <w:i/>
        </w:rPr>
        <w:t xml:space="preserve">Foreign Language Annals, 56</w:t>
      </w:r>
      <w:r>
        <w:t xml:space="preserve">(3), 740-763. https://doi.org/10.1111/flan.12704</w:t>
      </w:r>
    </w:p>
    <w:p>
      <w:pPr>
        <w:pStyle w:val="BodyText"/>
      </w:pPr>
      <w:r>
        <w:t xml:space="preserve">Zhang, M., &amp; Pladevall-Ballester, E. (2021). Students’ attitudes and perceptions towards three EMI courses in mainland China.</w:t>
      </w:r>
      <w:r>
        <w:t xml:space="preserve"> </w:t>
      </w:r>
      <w:r>
        <w:rPr>
          <w:iCs/>
          <w:i/>
        </w:rPr>
        <w:t xml:space="preserve">Language, Culture and Curriculum, 35</w:t>
      </w:r>
      <w:r>
        <w:t xml:space="preserve">(2), 200-216. https://doi.org/10.1080/07908318.2021.1979576</w:t>
      </w:r>
    </w:p>
    <w:p>
      <w:pPr>
        <w:pStyle w:val="BodyText"/>
      </w:pPr>
      <w:r>
        <w:t xml:space="preserve">Zhang, Q., &amp; Osborne, C. (2026). Readiness for digital transformation in Chinese as a foreign language education: A semi-systematic review.</w:t>
      </w:r>
      <w:r>
        <w:t xml:space="preserve"> </w:t>
      </w:r>
      <w:r>
        <w:rPr>
          <w:iCs/>
          <w:i/>
        </w:rPr>
        <w:t xml:space="preserve">Chinese as a Second Language Research, 15</w:t>
      </w:r>
      <w:r>
        <w:t xml:space="preserve">(1), 11-43. https://doi.org/10.1515/caslar-2026-2002</w:t>
      </w:r>
    </w:p>
    <w:p>
      <w:pPr>
        <w:pStyle w:val="BodyText"/>
      </w:pPr>
      <w:r>
        <w:t xml:space="preserve">Zhang, W., Wang, Y., Yang, L., &amp; Wang, C. (2020). Suspending classes without stopping learning: China’s education emergency management policy in the COVID-19 outbreak.</w:t>
      </w:r>
      <w:r>
        <w:t xml:space="preserve"> </w:t>
      </w:r>
      <w:r>
        <w:rPr>
          <w:iCs/>
          <w:i/>
        </w:rPr>
        <w:t xml:space="preserve">Journal of Risk and Financial Management, 13</w:t>
      </w:r>
      <w:r>
        <w:t xml:space="preserve">(3), 55. https://doi.org/10.3390/jrfm13030055</w:t>
      </w:r>
    </w:p>
    <w:p>
      <w:pPr>
        <w:pStyle w:val="BodyText"/>
      </w:pPr>
      <w:r>
        <w:t xml:space="preserve">Zhao, H., &amp; Huang, J. (2010). China’s policy of Chinese as a foreign language and the use of overseas Confucius Institutes.</w:t>
      </w:r>
      <w:r>
        <w:t xml:space="preserve"> </w:t>
      </w:r>
      <w:r>
        <w:rPr>
          <w:iCs/>
          <w:i/>
        </w:rPr>
        <w:t xml:space="preserve">Educational Research for Policy and Practice, 9</w:t>
      </w:r>
      <w:r>
        <w:t xml:space="preserve">(2), 127-142. https://doi.org/10.1007/s10671-009-9078-1</w:t>
      </w:r>
    </w:p>
    <w:p>
      <w:pPr>
        <w:pStyle w:val="BodyText"/>
      </w:pPr>
      <w:r>
        <w:t xml:space="preserve">Zhao, K. (2020). Localising Chinese language curriculum construction: A case study in an Australian primary school.</w:t>
      </w:r>
      <w:r>
        <w:t xml:space="preserve"> </w:t>
      </w:r>
      <w:r>
        <w:rPr>
          <w:iCs/>
          <w:i/>
        </w:rPr>
        <w:t xml:space="preserve">Global Chinese, 6</w:t>
      </w:r>
      <w:r>
        <w:t xml:space="preserve">(2), 263-288. https://doi.org/10.1515/glochi-2020-0014</w:t>
      </w:r>
    </w:p>
    <w:bookmarkEnd w:id="44"/>
    <w:bookmarkEnd w:id="45"/>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2026-08-23T10:50:52Z</dcterms:created>
  <dcterms:modified xsi:type="dcterms:W3CDTF">2026-08-23T10:50:52Z</dcterms:modified>
</cp:coreProperties>
</file>

<file path=docProps/custom.xml><?xml version="1.0" encoding="utf-8"?>
<Properties xmlns="http://schemas.openxmlformats.org/officeDocument/2006/custom-properties" xmlns:vt="http://schemas.openxmlformats.org/officeDocument/2006/docPropsVTypes"/>
</file>