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X58d4d32bf2fa0d1f45db090e0f004cc128afcf3"/>
    <w:p>
      <w:pPr>
        <w:pStyle w:val="Heading1"/>
      </w:pPr>
      <w:r>
        <w:t xml:space="preserve">Pakistani Chinese-university students studying remotely: household infrastructure and platform access during emergency remote teaching</w:t>
      </w:r>
    </w:p>
    <w:p>
      <w:pPr>
        <w:pStyle w:val="FirstParagraph"/>
      </w:pPr>
      <w:r>
        <w:rPr>
          <w:bCs/>
          <w:b/>
        </w:rPr>
        <w:t xml:space="preserve">Short title:</w:t>
      </w:r>
      <w:r>
        <w:t xml:space="preserve"> </w:t>
      </w:r>
      <w:r>
        <w:t xml:space="preserve">Remote Chinese: delivery-context fit</w:t>
      </w:r>
    </w:p>
    <w:p>
      <w:pPr>
        <w:pStyle w:val="BodyText"/>
      </w:pPr>
      <w:r>
        <w:t xml:space="preserve">Heena Rathore (corresponding author)</w:t>
      </w:r>
      <w:r>
        <w:br/>
      </w:r>
      <w:r>
        <w:t xml:space="preserve">PhD student, School of Foreign Languages, Sun Yat-sen University, Guangzhou, China</w:t>
      </w:r>
      <w:r>
        <w:br/>
      </w:r>
      <w:r>
        <w:t xml:space="preserve">Email: kristine_2020@qq.com</w:t>
      </w:r>
    </w:p>
    <w:p>
      <w:pPr>
        <w:pStyle w:val="BodyText"/>
      </w:pPr>
      <w:r>
        <w:t xml:space="preserve">Cao Huimin</w:t>
      </w:r>
      <w:r>
        <w:br/>
      </w:r>
      <w:r>
        <w:t xml:space="preserve">Institute for International Communication of Chinese Culture, Beijing Foreign Studies University, Beijing, China</w:t>
      </w:r>
    </w:p>
    <w:p>
      <w:pPr>
        <w:pStyle w:val="BodyText"/>
      </w:pPr>
      <w:r>
        <w:t xml:space="preserve">Xu Yiru (徐翌茹)</w:t>
      </w:r>
      <w:r>
        <w:br/>
      </w:r>
      <w:r>
        <w:t xml:space="preserve">School of Foreign Languages, Sun Yat-sen University, Guangzhou, China</w:t>
      </w:r>
      <w:r>
        <w:br/>
      </w:r>
      <w:r>
        <w:t xml:space="preserve">Email: xuyiru@mail.sysu.edu.cn</w:t>
      </w:r>
    </w:p>
    <w:p>
      <w:pPr>
        <w:pStyle w:val="BodyText"/>
      </w:pPr>
      <w:r>
        <w:rPr>
          <w:bCs/>
          <w:b/>
        </w:rPr>
        <w:t xml:space="preserve">Acknowledgements.</w:t>
      </w:r>
      <w:r>
        <w:t xml:space="preserve"> </w:t>
      </w:r>
      <w:r>
        <w:t xml:space="preserve">Data were collected while the first author was an M.Phil. scholar at the School of International Cultural Exchange, Central China Normal University. We thank the students who took part.</w:t>
      </w:r>
    </w:p>
    <w:p>
      <w:pPr>
        <w:pStyle w:val="BodyText"/>
      </w:pPr>
      <w:r>
        <w:rPr>
          <w:bCs/>
          <w:b/>
        </w:rPr>
        <w:t xml:space="preserve">Disclosure statement.</w:t>
      </w:r>
      <w:r>
        <w:t xml:space="preserve"> </w:t>
      </w:r>
      <w:r>
        <w:t xml:space="preserve">No potential conflict of interest was reported by the authors.</w:t>
      </w:r>
    </w:p>
    <w:p>
      <w:pPr>
        <w:pStyle w:val="BodyText"/>
      </w:pPr>
      <w:r>
        <w:rPr>
          <w:bCs/>
          <w:b/>
        </w:rPr>
        <w:t xml:space="preserve">Funding.</w:t>
      </w:r>
      <w:r>
        <w:t xml:space="preserve"> </w:t>
      </w:r>
      <w:r>
        <w:t xml:space="preserve">None.</w:t>
      </w:r>
    </w:p>
    <w:p>
      <w:pPr>
        <w:pStyle w:val="BodyText"/>
      </w:pPr>
      <w:r>
        <w:rPr>
          <w:bCs/>
          <w:b/>
        </w:rPr>
        <w:t xml:space="preserve">Data availability.</w:t>
      </w:r>
      <w:r>
        <w:t xml:space="preserve"> </w:t>
      </w:r>
      <w:r>
        <w:t xml:space="preserve">A de-identified analysis file (</w:t>
      </w:r>
      <w:r>
        <w:rPr>
          <w:rStyle w:val="VerbatimChar"/>
        </w:rPr>
        <w:t xml:space="preserve">data/anonymized_n38.csv</w:t>
      </w:r>
      <w:r>
        <w:t xml:space="preserve">), codebook, and analysis syntax (</w:t>
      </w:r>
      <w:r>
        <w:rPr>
          <w:rStyle w:val="VerbatimChar"/>
        </w:rPr>
        <w:t xml:space="preserve">analysis/analyze.py</w:t>
      </w:r>
      <w:r>
        <w:t xml:space="preserve">; supplementary calculations in</w:t>
      </w:r>
      <w:r>
        <w:t xml:space="preserve"> </w:t>
      </w:r>
      <w:r>
        <w:rPr>
          <w:rStyle w:val="VerbatimChar"/>
        </w:rPr>
        <w:t xml:space="preserve">analysis/supplementary_stats.md</w:t>
      </w:r>
      <w:r>
        <w:t xml:space="preserve">) are in the public project repository. Files containing names or IP addresses will not be shared. The corresponding author can also supply the same de-identified files on request.</w:t>
      </w:r>
    </w:p>
    <w:bookmarkStart w:id="20" w:name="abstract"/>
    <w:p>
      <w:pPr>
        <w:pStyle w:val="Heading2"/>
      </w:pPr>
      <w:r>
        <w:t xml:space="preserve">Abstract</w:t>
      </w:r>
    </w:p>
    <w:p>
      <w:pPr>
        <w:pStyle w:val="FirstParagraph"/>
      </w:pPr>
      <w:r>
        <w:t xml:space="preserve">This article reports an exploratory questionnaire study of how Chinese-university language courses were experienced when live classes were relocated off campus during COVID-19 emergency remote teaching. The contribution to international Chinese language education is a bounded concept,</w:t>
      </w:r>
      <w:r>
        <w:t xml:space="preserve"> </w:t>
      </w:r>
      <w:r>
        <w:rPr>
          <w:iCs/>
          <w:i/>
        </w:rPr>
        <w:t xml:space="preserve">localisation of delivery</w:t>
      </w:r>
      <w:r>
        <w:t xml:space="preserve">: institutional adaptation of time, platform, task, participation mode, and assessment to the receiving context. Thirty-eight adult respondents completed a Chinese-medium Wenjuan form between 5 and 8 February 2022. Thirty-seven selected Pakistani nationality and one selected Bangladesh. The sample is therefore mainly Pakistani by nationality. It is not a sample exclusively located in Pakistan, and IP metadata are not treated as a location measure. Unstable networks (76.3%) and power interruptions (42.1%) were commonly ticked; 36.8% reported very high stress. Eleven of 14 respondents who said the home affected study</w:t>
      </w:r>
      <w:r>
        <w:t xml:space="preserve"> </w:t>
      </w:r>
      <w:r>
        <w:t xml:space="preserve">“</w:t>
      </w:r>
      <w:r>
        <w:t xml:space="preserve">very much</w:t>
      </w:r>
      <w:r>
        <w:t xml:space="preserve">”</w:t>
      </w:r>
      <w:r>
        <w:t xml:space="preserve"> </w:t>
      </w:r>
      <w:r>
        <w:t xml:space="preserve">also reported very high stress, compared with 3 of 24 others (Fisher’s exact</w:t>
      </w:r>
      <w:r>
        <w:t xml:space="preserve"> </w:t>
      </w:r>
      <w:r>
        <w:rPr>
          <w:iCs/>
          <w:i/>
        </w:rPr>
        <w:t xml:space="preserve">p</w:t>
      </w:r>
      <w:r>
        <w:t xml:space="preserve"> </w:t>
      </w:r>
      <w:r>
        <w:t xml:space="preserve">= .00008). Worse reported internet speed was associated with a worse three-item perceived online-learning appraisal index (Spearman ρ = .65, bootstrap 95% CI [.36, .84]). QQ and Chaoxing were often marked unusable</w:t>
      </w:r>
      <w:r>
        <w:t xml:space="preserve"> </w:t>
      </w:r>
      <w:r>
        <w:t xml:space="preserve">“</w:t>
      </w:r>
      <w:r>
        <w:t xml:space="preserve">in my country</w:t>
      </w:r>
      <w:r>
        <w:t xml:space="preserve">”</w:t>
      </w:r>
      <w:r>
        <w:t xml:space="preserve">; Zoom and WhatsApp were more often marked available. The study is a historically situated emergency-remote-teaching case. It does not provide evidence about current hybrid practice.</w:t>
      </w:r>
    </w:p>
    <w:p>
      <w:pPr>
        <w:pStyle w:val="BodyText"/>
      </w:pPr>
      <w:r>
        <w:rPr>
          <w:bCs/>
          <w:b/>
        </w:rPr>
        <w:t xml:space="preserve">Keywords:</w:t>
      </w:r>
      <w:r>
        <w:t xml:space="preserve"> </w:t>
      </w:r>
      <w:r>
        <w:t xml:space="preserve">localisation of delivery; Chinese as an additional language; digital inequality; emergency remote teaching; Pakistan; household infrastructure</w:t>
      </w:r>
    </w:p>
    <w:bookmarkEnd w:id="20"/>
    <w:bookmarkStart w:id="21" w:name="introduction"/>
    <w:p>
      <w:pPr>
        <w:pStyle w:val="Heading2"/>
      </w:pPr>
      <w:r>
        <w:t xml:space="preserve">1. Introduction</w:t>
      </w:r>
    </w:p>
    <w:p>
      <w:pPr>
        <w:pStyle w:val="FirstParagraph"/>
      </w:pPr>
      <w:r>
        <w:t xml:space="preserve">International Chinese language education (ICLE) has treated localisation mainly as a problem of content and materials: local examples, annotation, and cultural comparison so that a travelling syllabus becomes learnable in a place (Zhao, 2020; Lu et al., 2024). This article proposes a further layer.</w:t>
      </w:r>
      <w:r>
        <w:t xml:space="preserve"> </w:t>
      </w:r>
      <w:r>
        <w:rPr>
          <w:iCs/>
          <w:i/>
        </w:rPr>
        <w:t xml:space="preserve">Localisation of delivery</w:t>
      </w:r>
      <w:r>
        <w:t xml:space="preserve"> </w:t>
      </w:r>
      <w:r>
        <w:t xml:space="preserve">is the institutional adaptation of time, platform, task, participation mode, and assessment to the receiving context. It differs from learner-side accessibility and from digital inclusion. Those terms describe conditions that students face. Localisation of delivery names a design task for the institution that sends the course.</w:t>
      </w:r>
    </w:p>
    <w:p>
      <w:pPr>
        <w:pStyle w:val="BodyText"/>
      </w:pPr>
      <w:r>
        <w:t xml:space="preserve">Emergency remote teaching (Hodges et al., 2020) is the historical setting in which that task became visible, not the theoretical centre of the article. When Chinese universities moved instruction online in 2020, many students of Pakistani nationality remained enrolled in Chinese-university language courses while sitting outside the campus infrastructure. A</w:t>
      </w:r>
      <w:r>
        <w:t xml:space="preserve"> </w:t>
      </w:r>
      <w:r>
        <w:rPr>
          <w:iCs/>
          <w:i/>
        </w:rPr>
        <w:t xml:space="preserve">travelling course</w:t>
      </w:r>
      <w:r>
        <w:t xml:space="preserve">, as used here, is an institutionally designed course whose timetable, platforms, tasks, and assessment arrangements were created for one institutional setting but enacted in another (Gacs et al., 2020). Typical Chinese-university language courses assume a live oral hour and a login on tools used in Chinese higher education. The questionnaire did not name host universities or required platforms. Those campus assumptions are therefore a contextual reading of ICLE emergency practice, not a measured programme description.</w:t>
      </w:r>
    </w:p>
    <w:p>
      <w:pPr>
        <w:pStyle w:val="BodyText"/>
      </w:pPr>
      <w:r>
        <w:t xml:space="preserve">Pakistani enrolment in Chinese universities is a documented case of South–South academic mobility, structured by scholarships and the China–Pakistan Economic Corridor rather than by the more familiar</w:t>
      </w:r>
      <w:r>
        <w:t xml:space="preserve"> </w:t>
      </w:r>
      <w:r>
        <w:t xml:space="preserve">“</w:t>
      </w:r>
      <w:r>
        <w:t xml:space="preserve">international student already on a Chinese campus</w:t>
      </w:r>
      <w:r>
        <w:t xml:space="preserve">”</w:t>
      </w:r>
      <w:r>
        <w:t xml:space="preserve"> </w:t>
      </w:r>
      <w:r>
        <w:t xml:space="preserve">story (Iftikhar et al., 2024; Tu, 2026; Gao &amp; Hua, 2021). This study does not treat the 38 respondents as a census of that mobility. It asks how, in one network-recruited emergency-period file, household infrastructure and reported platform access co-occurred with stress, perceived learning, and judgements of whether online Chinese could replace campus classes.</w:t>
      </w:r>
    </w:p>
    <w:p>
      <w:pPr>
        <w:pStyle w:val="BodyText"/>
      </w:pPr>
      <w:r>
        <w:t xml:space="preserve">Three questions guide the analysis:</w:t>
      </w:r>
    </w:p>
    <w:p>
      <w:pPr>
        <w:numPr>
          <w:ilvl w:val="0"/>
          <w:numId w:val="1001"/>
        </w:numPr>
        <w:pStyle w:val="Compact"/>
      </w:pPr>
      <w:r>
        <w:t xml:space="preserve">What household, connectivity, and platform-access conditions did respondents report?</w:t>
      </w:r>
    </w:p>
    <w:p>
      <w:pPr>
        <w:numPr>
          <w:ilvl w:val="0"/>
          <w:numId w:val="1001"/>
        </w:numPr>
        <w:pStyle w:val="Compact"/>
      </w:pPr>
      <w:r>
        <w:t xml:space="preserve">In this sample, how did selected household and connectivity reports co-occur with very high stress and with perceived online-learning appraisal?</w:t>
      </w:r>
    </w:p>
    <w:p>
      <w:pPr>
        <w:numPr>
          <w:ilvl w:val="0"/>
          <w:numId w:val="1001"/>
        </w:numPr>
        <w:pStyle w:val="Compact"/>
      </w:pPr>
      <w:r>
        <w:t xml:space="preserve">How did respondents judge whether online Chinese could replace campus classes?</w:t>
      </w:r>
    </w:p>
    <w:p>
      <w:pPr>
        <w:pStyle w:val="FirstParagraph"/>
      </w:pPr>
      <w:r>
        <w:t xml:space="preserve">The analysis is exploratory. Associations are reported as counts, exact tests, and rank correlations in this network. They are not confirmatory tests of a population model.</w:t>
      </w:r>
    </w:p>
    <w:bookmarkEnd w:id="21"/>
    <w:bookmarkStart w:id="26" w:name="literature-and-framework"/>
    <w:p>
      <w:pPr>
        <w:pStyle w:val="Heading2"/>
      </w:pPr>
      <w:r>
        <w:t xml:space="preserve">2. Literature and framework</w:t>
      </w:r>
    </w:p>
    <w:bookmarkStart w:id="22" w:name="X466d9fa4ba9675c3d2d096fe48fd97f00c4a10c"/>
    <w:p>
      <w:pPr>
        <w:pStyle w:val="Heading3"/>
      </w:pPr>
      <w:r>
        <w:t xml:space="preserve">2.1 Emergency remote teaching as historical context</w:t>
      </w:r>
    </w:p>
    <w:p>
      <w:pPr>
        <w:pStyle w:val="FirstParagraph"/>
      </w:pPr>
      <w:r>
        <w:t xml:space="preserve">Hodges et al. (2020) distinguished emergency remote teaching from planned online or blended courses. Gacs, Goertler and Spasova (2020) applied that distinction to languages. Reviews of language-teacher responses during the conversion to online teaching report thinner interaction and the entry of the domestic setting into the lesson (MacIntyre et al., 2020; Moorhouse &amp; Kohnke, 2021). Those studies are cited as emergency-teaching context, not as direct evidence of student stress in the present file.</w:t>
      </w:r>
    </w:p>
    <w:p>
      <w:pPr>
        <w:pStyle w:val="BodyText"/>
      </w:pPr>
      <w:r>
        <w:t xml:space="preserve">Later work described technological normalisation after the return to campus (Moorhouse, 2023; Moorhouse, Wong, &amp; Li, 2023) and warned that copying face-to-face teaching on videoconferencing was a limited lesson from the crisis (Stockwell &amp; Wang, 2023). For Chinese, contemporaneous papers documented</w:t>
      </w:r>
      <w:r>
        <w:t xml:space="preserve"> </w:t>
      </w:r>
      <w:r>
        <w:t xml:space="preserve">“</w:t>
      </w:r>
      <w:r>
        <w:t xml:space="preserve">suspending classes without stopping learning</w:t>
      </w:r>
      <w:r>
        <w:t xml:space="preserve">”</w:t>
      </w:r>
      <w:r>
        <w:t xml:space="preserve"> </w:t>
      </w:r>
      <w:r>
        <w:t xml:space="preserve">and platform trials (Zhang et al., 2020; Xia et al., 2022). A later review of online ICLE teaching models still lists technical issues, weak interaction, and time-zone problems (Li &amp; Li, 2024). Much of that literature assumes a relatively stable connection. The present file cannot test whether that assumption holds for current hybrid ICLE. It can describe what 38 respondents reported in February 2022.</w:t>
      </w:r>
    </w:p>
    <w:bookmarkEnd w:id="22"/>
    <w:bookmarkStart w:id="23" w:name="X2a1706acb855f9b47e20bf43e0bff03a0be2114"/>
    <w:p>
      <w:pPr>
        <w:pStyle w:val="Heading3"/>
      </w:pPr>
      <w:r>
        <w:t xml:space="preserve">2.2 Digital inequality and home learning ecology</w:t>
      </w:r>
    </w:p>
    <w:p>
      <w:pPr>
        <w:pStyle w:val="FirstParagraph"/>
      </w:pPr>
      <w:r>
        <w:t xml:space="preserve">Later digital-divide models describe a sequence of motivational, material, skills, usage, and outcome access (van Dijk, 2020; Helsper, 2021; Warschauer, 2003). Device ownership is not the same as taking part (Ali, 2020). In Pakistan, household use of educational technology is also structured by device sharing, care work, and electricity (Raza &amp; Hennessy, 2025). That report is grey literature and is used only as background on household conditions, not as a standalone empirical claim about this sample.</w:t>
      </w:r>
    </w:p>
    <w:p>
      <w:pPr>
        <w:pStyle w:val="BodyText"/>
      </w:pPr>
      <w:r>
        <w:t xml:space="preserve">Ecological views of language education take the setting of the class, not only the student plus the application, as the unit of analysis (van Lier, 2004; Guerrettaz et al., 2021). In this article that setting is described as a</w:t>
      </w:r>
      <w:r>
        <w:t xml:space="preserve"> </w:t>
      </w:r>
      <w:r>
        <w:rPr>
          <w:iCs/>
          <w:i/>
        </w:rPr>
        <w:t xml:space="preserve">home learning ecology</w:t>
      </w:r>
      <w:r>
        <w:t xml:space="preserve">: domestic space, paid or care work, and the conditions of oral participation. Electricity interruptions, blocked applications, and weak bandwidth are treated as material and infrastructural conditions, not as cultural traits.</w:t>
      </w:r>
    </w:p>
    <w:bookmarkEnd w:id="23"/>
    <w:bookmarkStart w:id="24" w:name="localisation-of-delivery"/>
    <w:p>
      <w:pPr>
        <w:pStyle w:val="Heading3"/>
      </w:pPr>
      <w:r>
        <w:t xml:space="preserve">2.3 Localisation of delivery</w:t>
      </w:r>
    </w:p>
    <w:p>
      <w:pPr>
        <w:pStyle w:val="FirstParagraph"/>
      </w:pPr>
      <w:r>
        <w:t xml:space="preserve">In materials work, localisation has meant personalising content so that it speaks to a particular group (McDonough &amp; Shaw, 2003; Tomlinson, 2011). Canagarajah (2005) and Kumaravadivelu (2001) locate pedagogy in a specific group and place. China’s promotion of Chinese has long been tied to institutes, textbooks, and tests (Zhao &amp; Huang, 2010). ICLE studies have applied localisation to curriculum construction and textbook adaptation (Zhao, 2020; Lu et al., 2024). Lam (2024) treats glocalisation as fitting a travelling literacy to a local university classroom. Guerrettaz et al. (2021) extend materials from the page to use. If the material is a live class, use includes whether the class can be entered.</w:t>
      </w:r>
    </w:p>
    <w:p>
      <w:pPr>
        <w:pStyle w:val="BodyText"/>
      </w:pPr>
      <w:r>
        <w:t xml:space="preserve">Four layers can be distinguished:</w:t>
      </w:r>
    </w:p>
    <w:p>
      <w:pPr>
        <w:numPr>
          <w:ilvl w:val="0"/>
          <w:numId w:val="1002"/>
        </w:numPr>
        <w:pStyle w:val="Compact"/>
      </w:pPr>
      <w:r>
        <w:t xml:space="preserve">Localisation of</w:t>
      </w:r>
      <w:r>
        <w:t xml:space="preserve"> </w:t>
      </w:r>
      <w:r>
        <w:rPr>
          <w:iCs/>
          <w:i/>
        </w:rPr>
        <w:t xml:space="preserve">content</w:t>
      </w:r>
      <w:r>
        <w:t xml:space="preserve">: examples, festivals, and cultural comparison.</w:t>
      </w:r>
    </w:p>
    <w:p>
      <w:pPr>
        <w:numPr>
          <w:ilvl w:val="0"/>
          <w:numId w:val="1002"/>
        </w:numPr>
        <w:pStyle w:val="Compact"/>
      </w:pPr>
      <w:r>
        <w:t xml:space="preserve">Localisation of</w:t>
      </w:r>
      <w:r>
        <w:t xml:space="preserve"> </w:t>
      </w:r>
      <w:r>
        <w:rPr>
          <w:iCs/>
          <w:i/>
        </w:rPr>
        <w:t xml:space="preserve">materials</w:t>
      </w:r>
      <w:r>
        <w:t xml:space="preserve">: annotation, mediation language, and page redesign.</w:t>
      </w:r>
    </w:p>
    <w:p>
      <w:pPr>
        <w:numPr>
          <w:ilvl w:val="0"/>
          <w:numId w:val="1002"/>
        </w:numPr>
        <w:pStyle w:val="Compact"/>
      </w:pPr>
      <w:r>
        <w:t xml:space="preserve">Localisation of</w:t>
      </w:r>
      <w:r>
        <w:t xml:space="preserve"> </w:t>
      </w:r>
      <w:r>
        <w:rPr>
          <w:iCs/>
          <w:i/>
        </w:rPr>
        <w:t xml:space="preserve">curriculum</w:t>
      </w:r>
      <w:r>
        <w:t xml:space="preserve">: pathway, hours, and assessment of a named programme (Shan &amp; Xu, 2024; Zhao, 2020).</w:t>
      </w:r>
    </w:p>
    <w:p>
      <w:pPr>
        <w:numPr>
          <w:ilvl w:val="0"/>
          <w:numId w:val="1002"/>
        </w:numPr>
        <w:pStyle w:val="Compact"/>
      </w:pPr>
      <w:r>
        <w:t xml:space="preserve">Localisation of</w:t>
      </w:r>
      <w:r>
        <w:t xml:space="preserve"> </w:t>
      </w:r>
      <w:r>
        <w:rPr>
          <w:iCs/>
          <w:i/>
        </w:rPr>
        <w:t xml:space="preserve">delivery</w:t>
      </w:r>
      <w:r>
        <w:t xml:space="preserve">: institutional adaptation of time, platform, task, participation mode, and assessment to the receiving context.</w:t>
      </w:r>
    </w:p>
    <w:p>
      <w:pPr>
        <w:pStyle w:val="FirstParagraph"/>
      </w:pPr>
      <w:r>
        <w:t xml:space="preserve">This article addresses only the fourth layer. Accessibility and digital inclusion describe constraints that learners report. Localisation of delivery is the institutional response: changing the live hour, the required application, the oral task, or the assessment so that the travelling course can be used where the student actually sits. The questionnaire did not observe institutions adapting. It recorded student-side conditions that, if taken seriously, would require such adaptation.</w:t>
      </w:r>
    </w:p>
    <w:p>
      <w:pPr>
        <w:pStyle w:val="BodyText"/>
      </w:pPr>
      <w:r>
        <w:t xml:space="preserve">Gong, Gao and Lyu (2020) review ICLE in mainland China for 2014–2018 and are cited for that pre-pandemic field map, not as post-COVID evidence. Gao and Hua (2021) and Gong, Gao, Li and Lai (2020) document international students of Chinese</w:t>
      </w:r>
      <w:r>
        <w:t xml:space="preserve"> </w:t>
      </w:r>
      <w:r>
        <w:rPr>
          <w:iCs/>
          <w:i/>
        </w:rPr>
        <w:t xml:space="preserve">in</w:t>
      </w:r>
      <w:r>
        <w:t xml:space="preserve"> </w:t>
      </w:r>
      <w:r>
        <w:t xml:space="preserve">Chinese universities. Guenier, Xing and Yan (2026) describe a designed online Chinese-culture course, which is planned online teaching rather than emergency remote teaching. The present respondents were enrolled in Chinese universities and answered a form about online Chinese classes. They were not a Confucius Institute classroom sample.</w:t>
      </w:r>
    </w:p>
    <w:bookmarkEnd w:id="24"/>
    <w:bookmarkStart w:id="25" w:name="conceptual-model"/>
    <w:p>
      <w:pPr>
        <w:pStyle w:val="Heading3"/>
      </w:pPr>
      <w:r>
        <w:t xml:space="preserve">2.4 Conceptual model</w:t>
      </w:r>
    </w:p>
    <w:p>
      <w:pPr>
        <w:pStyle w:val="FirstParagraph"/>
      </w:pPr>
      <w:r>
        <w:t xml:space="preserve">Figure 1 is a reading model, not a tested path. Household infrastructure and reported platform access are concurrent conditions of a travelling course. They are described as possible constraints on participation. Language investment is not part of the model.</w:t>
      </w:r>
    </w:p>
    <w:p>
      <w:pPr>
        <w:pStyle w:val="BodyText"/>
      </w:pPr>
      <w:r>
        <w:t xml:space="preserve">Figure 1. Localisation of delivery as delivery-context fit (reading model). Household infrastructure (power interruptions, network stability, speed) and reported platform access are concurrent conditions. They are interpreted as possible constraints on participation and on self-reported stress, interaction, appraisal, and replacement judgements. The figure is not a causal path.</w:t>
      </w:r>
    </w:p>
    <w:bookmarkEnd w:id="25"/>
    <w:bookmarkEnd w:id="26"/>
    <w:bookmarkStart w:id="33" w:name="the-study"/>
    <w:p>
      <w:pPr>
        <w:pStyle w:val="Heading2"/>
      </w:pPr>
      <w:r>
        <w:t xml:space="preserve">3. The study</w:t>
      </w:r>
    </w:p>
    <w:bookmarkStart w:id="27" w:name="design"/>
    <w:p>
      <w:pPr>
        <w:pStyle w:val="Heading3"/>
      </w:pPr>
      <w:r>
        <w:t xml:space="preserve">3.1 Design</w:t>
      </w:r>
    </w:p>
    <w:p>
      <w:pPr>
        <w:pStyle w:val="FirstParagraph"/>
      </w:pPr>
      <w:r>
        <w:t xml:space="preserve">The study is an exploratory, cross-sectional questionnaire. It does not test a pre-registered confirmatory model. The instrument title on the Wenjuan export is 新冠肺炎期间留学生在线中文学习的影响因素 (Influencing factors in international students’ online Chinese learning during COVID-19). Complete cases were submitted between 5 and 8 February 2022 (N = 38).</w:t>
      </w:r>
    </w:p>
    <w:bookmarkEnd w:id="27"/>
    <w:bookmarkStart w:id="28" w:name="recruitment-and-eligibility"/>
    <w:p>
      <w:pPr>
        <w:pStyle w:val="Heading3"/>
      </w:pPr>
      <w:r>
        <w:t xml:space="preserve">3.2 Recruitment and eligibility</w:t>
      </w:r>
    </w:p>
    <w:p>
      <w:pPr>
        <w:pStyle w:val="FirstParagraph"/>
      </w:pPr>
      <w:r>
        <w:t xml:space="preserve">The file is a convenience sample. The form did not record how the link was distributed (for example WeChat, WhatsApp, email, or student groups). The research team therefore cannot name the recruitment channel. Eligibility was implicit: adult respondents who completed the Chinese-medium form about online Chinese learning. The form did not ask host university, city of residence that week, degree versus non-degree status, or scholarship type. Two items asked whether required courses and electives were online (71.1% and 60.5% ticked those options). Those ticks do not identify a named programme.</w:t>
      </w:r>
    </w:p>
    <w:bookmarkEnd w:id="28"/>
    <w:bookmarkStart w:id="29" w:name="participants"/>
    <w:p>
      <w:pPr>
        <w:pStyle w:val="Heading3"/>
      </w:pPr>
      <w:r>
        <w:t xml:space="preserve">3.3 Participants</w:t>
      </w:r>
    </w:p>
    <w:p>
      <w:pPr>
        <w:pStyle w:val="FirstParagraph"/>
      </w:pPr>
      <w:r>
        <w:t xml:space="preserve">Of 38 respondents, 27 were men (71.1%) and 11 women (28.9%). Thirty-seven selected Pakistani nationality and one selected</w:t>
      </w:r>
      <w:r>
        <w:t xml:space="preserve"> </w:t>
      </w:r>
      <w:r>
        <w:t xml:space="preserve">“</w:t>
      </w:r>
      <w:r>
        <w:t xml:space="preserve">other</w:t>
      </w:r>
      <w:r>
        <w:t xml:space="preserve">”</w:t>
      </w:r>
      <w:r>
        <w:t xml:space="preserve"> </w:t>
      </w:r>
      <w:r>
        <w:t xml:space="preserve">(Bangladesh). Self-rated Chinese level was mostly advanced (22, 57.9%) or intermediate (15, 39.5%); one beginner. That label is the student’s own, not an HSK band. Years of learning Chinese clustered at three to four years (26, 68.4%). Wenjuan submission metadata classified the operating system as iPhone (24, 63.2%) or Android (14). That variable is the device used to submit the form, not a survey item about all devices used for class.</w:t>
      </w:r>
    </w:p>
    <w:p>
      <w:pPr>
        <w:pStyle w:val="BodyText"/>
      </w:pPr>
      <w:r>
        <w:t xml:space="preserve">Wenjuan automatically recorded an IP-province field. The research team coded a dummy when that field was a mainland China province name (9 of 38). IP labels are technical metadata. They can be affected by virtual private networks and proxies and are not a reliable measure of physical location. They are not used as a participant-location variable and are not the basis of a sensitivity analysis.</w:t>
      </w:r>
    </w:p>
    <w:p>
      <w:pPr>
        <w:pStyle w:val="BodyText"/>
      </w:pPr>
      <w:r>
        <w:t xml:space="preserve">The sample is described as</w:t>
      </w:r>
      <w:r>
        <w:t xml:space="preserve"> </w:t>
      </w:r>
      <w:r>
        <w:rPr>
          <w:iCs/>
          <w:i/>
        </w:rPr>
        <w:t xml:space="preserve">mainly Pakistani Chinese-university language students studying remotely in February 2022</w:t>
      </w:r>
      <w:r>
        <w:t xml:space="preserve">. It is not described as students exclusively in Pakistan, as CSC students, or as a draw from all Pakistani students in Chinese universities.</w:t>
      </w:r>
    </w:p>
    <w:bookmarkEnd w:id="29"/>
    <w:bookmarkStart w:id="30" w:name="instrument-and-coding"/>
    <w:p>
      <w:pPr>
        <w:pStyle w:val="Heading3"/>
      </w:pPr>
      <w:r>
        <w:t xml:space="preserve">3.4 Instrument and coding</w:t>
      </w:r>
    </w:p>
    <w:p>
      <w:pPr>
        <w:pStyle w:val="FirstParagraph"/>
      </w:pPr>
      <w:r>
        <w:t xml:space="preserve">The questionnaire comprised about 30 items: demographics, single-choice ordinals, and multiple-response lists. Stems are in Chinese, with some non-native wording (for example 您尝尝用什么平台). English glosses are used for reporting. Item wording for the appraisal index is given in Appendix A.</w:t>
      </w:r>
    </w:p>
    <w:p>
      <w:pPr>
        <w:pStyle w:val="BodyText"/>
      </w:pPr>
      <w:r>
        <w:t xml:space="preserve">A three-item</w:t>
      </w:r>
      <w:r>
        <w:t xml:space="preserve"> </w:t>
      </w:r>
      <w:r>
        <w:rPr>
          <w:iCs/>
          <w:i/>
        </w:rPr>
        <w:t xml:space="preserve">perceived online-learning appraisal index</w:t>
      </w:r>
      <w:r>
        <w:t xml:space="preserve"> </w:t>
      </w:r>
      <w:r>
        <w:t xml:space="preserve">was formed from learned much (Q8), improves Chinese (Q9), and sparks interest (Q10). The items ask related but not identical questions. They are treated as a descriptive index, not as a validated unidimensional scale. Internal consistency was acceptable in this sample (Cronbach’s α = .84); Spearman inter-item correlations ranged from .55 to .75 (Appendix B). Exploratory factor analysis was not used (N = 38). Individual items are also reported. One double-tick on</w:t>
      </w:r>
      <w:r>
        <w:t xml:space="preserve"> </w:t>
      </w:r>
      <w:r>
        <w:t xml:space="preserve">“</w:t>
      </w:r>
      <w:r>
        <w:t xml:space="preserve">like online classes</w:t>
      </w:r>
      <w:r>
        <w:t xml:space="preserve">”</w:t>
      </w:r>
      <w:r>
        <w:t xml:space="preserve"> </w:t>
      </w:r>
      <w:r>
        <w:t xml:space="preserve">was excluded for that item only (n = 37 valid).</w:t>
      </w:r>
    </w:p>
    <w:p>
      <w:pPr>
        <w:pStyle w:val="BodyText"/>
      </w:pPr>
      <w:r>
        <w:t xml:space="preserve">Coding follows the Wenjuan export. Higher values on speed, learned, improve, interest, and teacher interaction indicate a more negative report (worse speed; less learning, improvement, or interest; thinner interaction). Stress is coded 1 = very high to 4 = none; the focal stress analysis uses a dummy for very high stress and does not reverse the ordinal. Full directions are in Table A1.</w:t>
      </w:r>
    </w:p>
    <w:p>
      <w:pPr>
        <w:pStyle w:val="BodyText"/>
      </w:pPr>
      <w:r>
        <w:t xml:space="preserve">The export labelled one multiple-response problem as</w:t>
      </w:r>
      <w:r>
        <w:t xml:space="preserve"> </w:t>
      </w:r>
      <w:r>
        <w:t xml:space="preserve">“</w:t>
      </w:r>
      <w:r>
        <w:t xml:space="preserve">no electricity.</w:t>
      </w:r>
      <w:r>
        <w:t xml:space="preserve">”</w:t>
      </w:r>
      <w:r>
        <w:t xml:space="preserve"> </w:t>
      </w:r>
      <w:r>
        <w:t xml:space="preserve">The introduction’s references to load-shedding are contextual. In results we report the item as</w:t>
      </w:r>
      <w:r>
        <w:t xml:space="preserve"> </w:t>
      </w:r>
      <w:r>
        <w:rPr>
          <w:iCs/>
          <w:i/>
        </w:rPr>
        <w:t xml:space="preserve">power interruptions</w:t>
      </w:r>
      <w:r>
        <w:t xml:space="preserve"> </w:t>
      </w:r>
      <w:r>
        <w:t xml:space="preserve">(export label: no electricity).</w:t>
      </w:r>
      <w:r>
        <w:t xml:space="preserve"> </w:t>
      </w:r>
      <w:r>
        <w:t xml:space="preserve">“</w:t>
      </w:r>
      <w:r>
        <w:t xml:space="preserve">中国慕课</w:t>
      </w:r>
      <w:r>
        <w:t xml:space="preserve">”</w:t>
      </w:r>
      <w:r>
        <w:t xml:space="preserve"> </w:t>
      </w:r>
      <w:r>
        <w:t xml:space="preserve">is reported as printed on the form; the option did not name a single provider such as 中国大学MOOC.</w:t>
      </w:r>
    </w:p>
    <w:bookmarkEnd w:id="30"/>
    <w:bookmarkStart w:id="31" w:name="analysis"/>
    <w:p>
      <w:pPr>
        <w:pStyle w:val="Heading3"/>
      </w:pPr>
      <w:r>
        <w:t xml:space="preserve">3.5 Analysis</w:t>
      </w:r>
    </w:p>
    <w:p>
      <w:pPr>
        <w:pStyle w:val="FirstParagraph"/>
      </w:pPr>
      <w:r>
        <w:t xml:space="preserve">Frequencies are n/38 unless noted. Multiple-response items are the percentage who selected the option. Two associations were treated as focal: (a) home affects study very much × very high stress; (b) internet speed × the appraisal index. For the 2×2 table we report cell counts and two-sided Fisher’s exact</w:t>
      </w:r>
      <w:r>
        <w:t xml:space="preserve"> </w:t>
      </w:r>
      <w:r>
        <w:rPr>
          <w:iCs/>
          <w:i/>
        </w:rPr>
        <w:t xml:space="preserve">p</w:t>
      </w:r>
      <w:r>
        <w:t xml:space="preserve"> </w:t>
      </w:r>
      <w:r>
        <w:t xml:space="preserve">(SciPy</w:t>
      </w:r>
      <w:r>
        <w:t xml:space="preserve"> </w:t>
      </w:r>
      <w:r>
        <w:rPr>
          <w:rStyle w:val="VerbatimChar"/>
        </w:rPr>
        <w:t xml:space="preserve">fisher_exact</w:t>
      </w:r>
      <w:r>
        <w:t xml:space="preserve">). Odds ratios and Wald confidence intervals are not reported: at N = 38 they are unstable, and a Wald interval can disagree with Fisher’s</w:t>
      </w:r>
      <w:r>
        <w:t xml:space="preserve"> </w:t>
      </w:r>
      <w:r>
        <w:rPr>
          <w:iCs/>
          <w:i/>
        </w:rPr>
        <w:t xml:space="preserve">p</w:t>
      </w:r>
      <w:r>
        <w:t xml:space="preserve">. For the ordinal pair we report Spearman’s ρ and a bootstrap 95% confidence interval (5,000 resamples). Other associations, including gender, are secondary and are placed in Appendix B.</w:t>
      </w:r>
      <w:r>
        <w:t xml:space="preserve"> </w:t>
      </w:r>
      <w:r>
        <w:rPr>
          <w:iCs/>
          <w:i/>
        </w:rPr>
        <w:t xml:space="preserve">p</w:t>
      </w:r>
      <w:r>
        <w:t xml:space="preserve"> </w:t>
      </w:r>
      <w:r>
        <w:t xml:space="preserve">values are not adjusted for multiplicity and are not interpreted as confirmatory.</w:t>
      </w:r>
    </w:p>
    <w:p>
      <w:pPr>
        <w:pStyle w:val="BodyText"/>
      </w:pPr>
      <w:r>
        <w:t xml:space="preserve">A Pakistani-nationality check (n = 37) is reported only to show that dropping the one Bangladeshi case does not reverse the two focal associations. It is not a location analysis.</w:t>
      </w:r>
    </w:p>
    <w:bookmarkEnd w:id="31"/>
    <w:bookmarkStart w:id="32" w:name="ethics-and-data-protection"/>
    <w:p>
      <w:pPr>
        <w:pStyle w:val="Heading3"/>
      </w:pPr>
      <w:r>
        <w:t xml:space="preserve">3.6 Ethics and data protection</w:t>
      </w:r>
    </w:p>
    <w:p>
      <w:pPr>
        <w:pStyle w:val="FirstParagraph"/>
      </w:pPr>
      <w:r>
        <w:t xml:space="preserve">Adult respondents completed an online form presented as research on online Chinese learning. The form stated that answers would be used for research. Completion and submission were treated as consent. Names, IP addresses, and exact timestamps beyond the collection dates were removed before analysis. The de-identified file does not include those fields.</w:t>
      </w:r>
    </w:p>
    <w:p>
      <w:pPr>
        <w:pStyle w:val="BodyText"/>
      </w:pPr>
      <w:r>
        <w:t xml:space="preserve">No institutional ethics-committee number is available for the original 2022 collection. The first author was then an M.Phil. student; numbered approval was not obtained. The present article is an anonymised secondary analysis of that file. Authors should seek retrospective institutional confirmation or a waiver from their current ethics office before ScholarOne upload if the journal requires a protocol number. No approval number has been invented.</w:t>
      </w:r>
    </w:p>
    <w:bookmarkEnd w:id="32"/>
    <w:bookmarkEnd w:id="33"/>
    <w:bookmarkStart w:id="38" w:name="results"/>
    <w:p>
      <w:pPr>
        <w:pStyle w:val="Heading2"/>
      </w:pPr>
      <w:r>
        <w:t xml:space="preserve">4. Results</w:t>
      </w:r>
    </w:p>
    <w:bookmarkStart w:id="34" w:name="respondents-and-reported-conditions"/>
    <w:p>
      <w:pPr>
        <w:pStyle w:val="Heading3"/>
      </w:pPr>
      <w:r>
        <w:t xml:space="preserve">4.1 Respondents and reported conditions</w:t>
      </w:r>
    </w:p>
    <w:p>
      <w:pPr>
        <w:pStyle w:val="FirstParagraph"/>
      </w:pPr>
      <w:r>
        <w:t xml:space="preserve">Table 1 locates the sample. Most respondents (78.9%) said all of their Chinese classes were online. More than half (57.9%) reported working alongside study.</w:t>
      </w:r>
    </w:p>
    <w:p>
      <w:pPr>
        <w:pStyle w:val="BodyText"/>
      </w:pPr>
      <w:r>
        <w:rPr>
          <w:bCs/>
          <w:b/>
        </w:rPr>
        <w:t xml:space="preserve">Table 1</w:t>
      </w:r>
    </w:p>
    <w:p>
      <w:pPr>
        <w:pStyle w:val="BodyText"/>
      </w:pPr>
      <w:r>
        <w:rPr>
          <w:iCs/>
          <w:i/>
        </w:rPr>
        <w:t xml:space="preserve">Respondents (N = 38)</w:t>
      </w:r>
    </w:p>
    <w:tbl>
      <w:tblPr>
        <w:tblStyle w:val="Table"/>
        <w:tblW w:type="pct" w:w="5000"/>
        <w:tblLook w:firstRow="1" w:lastRow="0" w:firstColumn="0" w:lastColumn="0" w:noHBand="0" w:noVBand="0" w:val="0020"/>
        <w:jc w:val="start"/>
      </w:tblPr>
      <w:tblGrid>
        <w:gridCol w:w="2160"/>
        <w:gridCol w:w="2880"/>
        <w:gridCol w:w="2880"/>
      </w:tblGrid>
      <w:tr>
        <w:trPr>
          <w:tblHeader w:val="true"/>
        </w:trPr>
        <w:tc>
          <w:tcPr/>
          <w:p>
            <w:pPr>
              <w:pStyle w:val="Compact"/>
              <w:jc w:val="left"/>
            </w:pPr>
            <w:r>
              <w:t xml:space="preserve">Variable</w:t>
            </w:r>
          </w:p>
        </w:tc>
        <w:tc>
          <w:tcPr/>
          <w:p>
            <w:pPr>
              <w:pStyle w:val="Compact"/>
              <w:jc w:val="right"/>
            </w:pPr>
            <w:r>
              <w:t xml:space="preserve">n</w:t>
            </w:r>
          </w:p>
        </w:tc>
        <w:tc>
          <w:tcPr/>
          <w:p>
            <w:pPr>
              <w:pStyle w:val="Compact"/>
              <w:jc w:val="right"/>
            </w:pPr>
            <w:r>
              <w:t xml:space="preserve">%</w:t>
            </w:r>
          </w:p>
        </w:tc>
      </w:tr>
      <w:tr>
        <w:tc>
          <w:tcPr/>
          <w:p>
            <w:pPr>
              <w:pStyle w:val="Compact"/>
              <w:jc w:val="left"/>
            </w:pPr>
            <w:r>
              <w:t xml:space="preserve">Male</w:t>
            </w:r>
          </w:p>
        </w:tc>
        <w:tc>
          <w:tcPr/>
          <w:p>
            <w:pPr>
              <w:pStyle w:val="Compact"/>
              <w:jc w:val="right"/>
            </w:pPr>
            <w:r>
              <w:t xml:space="preserve">27</w:t>
            </w:r>
          </w:p>
        </w:tc>
        <w:tc>
          <w:tcPr/>
          <w:p>
            <w:pPr>
              <w:pStyle w:val="Compact"/>
              <w:jc w:val="right"/>
            </w:pPr>
            <w:r>
              <w:t xml:space="preserve">71.1</w:t>
            </w:r>
          </w:p>
        </w:tc>
      </w:tr>
      <w:tr>
        <w:tc>
          <w:tcPr/>
          <w:p>
            <w:pPr>
              <w:pStyle w:val="Compact"/>
              <w:jc w:val="left"/>
            </w:pPr>
            <w:r>
              <w:t xml:space="preserve">Female</w:t>
            </w:r>
          </w:p>
        </w:tc>
        <w:tc>
          <w:tcPr/>
          <w:p>
            <w:pPr>
              <w:pStyle w:val="Compact"/>
              <w:jc w:val="right"/>
            </w:pPr>
            <w:r>
              <w:t xml:space="preserve">11</w:t>
            </w:r>
          </w:p>
        </w:tc>
        <w:tc>
          <w:tcPr/>
          <w:p>
            <w:pPr>
              <w:pStyle w:val="Compact"/>
              <w:jc w:val="right"/>
            </w:pPr>
            <w:r>
              <w:t xml:space="preserve">28.9</w:t>
            </w:r>
          </w:p>
        </w:tc>
      </w:tr>
      <w:tr>
        <w:tc>
          <w:tcPr/>
          <w:p>
            <w:pPr>
              <w:pStyle w:val="Compact"/>
              <w:jc w:val="left"/>
            </w:pPr>
            <w:r>
              <w:t xml:space="preserve">Pakistani nationality</w:t>
            </w:r>
          </w:p>
        </w:tc>
        <w:tc>
          <w:tcPr/>
          <w:p>
            <w:pPr>
              <w:pStyle w:val="Compact"/>
              <w:jc w:val="right"/>
            </w:pPr>
            <w:r>
              <w:t xml:space="preserve">37</w:t>
            </w:r>
          </w:p>
        </w:tc>
        <w:tc>
          <w:tcPr/>
          <w:p>
            <w:pPr>
              <w:pStyle w:val="Compact"/>
              <w:jc w:val="right"/>
            </w:pPr>
            <w:r>
              <w:t xml:space="preserve">97.4</w:t>
            </w:r>
          </w:p>
        </w:tc>
      </w:tr>
      <w:tr>
        <w:tc>
          <w:tcPr/>
          <w:p>
            <w:pPr>
              <w:pStyle w:val="Compact"/>
              <w:jc w:val="left"/>
            </w:pPr>
            <w:r>
              <w:t xml:space="preserve">Other (Bangladesh)</w:t>
            </w:r>
          </w:p>
        </w:tc>
        <w:tc>
          <w:tcPr/>
          <w:p>
            <w:pPr>
              <w:pStyle w:val="Compact"/>
              <w:jc w:val="right"/>
            </w:pPr>
            <w:r>
              <w:t xml:space="preserve">1</w:t>
            </w:r>
          </w:p>
        </w:tc>
        <w:tc>
          <w:tcPr/>
          <w:p>
            <w:pPr>
              <w:pStyle w:val="Compact"/>
              <w:jc w:val="right"/>
            </w:pPr>
            <w:r>
              <w:t xml:space="preserve">2.6</w:t>
            </w:r>
          </w:p>
        </w:tc>
      </w:tr>
      <w:tr>
        <w:tc>
          <w:tcPr/>
          <w:p>
            <w:pPr>
              <w:pStyle w:val="Compact"/>
              <w:jc w:val="left"/>
            </w:pPr>
            <w:r>
              <w:t xml:space="preserve">Beginner / intermediate / advanced Chinese (self-rating)</w:t>
            </w:r>
          </w:p>
        </w:tc>
        <w:tc>
          <w:tcPr/>
          <w:p>
            <w:pPr>
              <w:pStyle w:val="Compact"/>
              <w:jc w:val="right"/>
            </w:pPr>
            <w:r>
              <w:t xml:space="preserve">1 / 15 / 22</w:t>
            </w:r>
          </w:p>
        </w:tc>
        <w:tc>
          <w:tcPr/>
          <w:p>
            <w:pPr>
              <w:pStyle w:val="Compact"/>
              <w:jc w:val="right"/>
            </w:pPr>
            <w:r>
              <w:t xml:space="preserve">2.6 / 39.5 / 57.9</w:t>
            </w:r>
          </w:p>
        </w:tc>
      </w:tr>
      <w:tr>
        <w:tc>
          <w:tcPr/>
          <w:p>
            <w:pPr>
              <w:pStyle w:val="Compact"/>
              <w:jc w:val="left"/>
            </w:pPr>
            <w:r>
              <w:t xml:space="preserve">Years of Chinese: 1 to 2 / 3 to 4 / 5 to 6 / 6+</w:t>
            </w:r>
          </w:p>
        </w:tc>
        <w:tc>
          <w:tcPr/>
          <w:p>
            <w:pPr>
              <w:pStyle w:val="Compact"/>
              <w:jc w:val="right"/>
            </w:pPr>
            <w:r>
              <w:t xml:space="preserve">3 / 26 / 8 / 1</w:t>
            </w:r>
          </w:p>
        </w:tc>
        <w:tc>
          <w:tcPr/>
          <w:p>
            <w:pPr>
              <w:pStyle w:val="Compact"/>
              <w:jc w:val="right"/>
            </w:pPr>
            <w:r>
              <w:t xml:space="preserve">7.9 / 68.4 / 21.1 / 2.6</w:t>
            </w:r>
          </w:p>
        </w:tc>
      </w:tr>
      <w:tr>
        <w:tc>
          <w:tcPr/>
          <w:p>
            <w:pPr>
              <w:pStyle w:val="Compact"/>
              <w:jc w:val="left"/>
            </w:pPr>
            <w:r>
              <w:t xml:space="preserve">All Chinese classes online</w:t>
            </w:r>
          </w:p>
        </w:tc>
        <w:tc>
          <w:tcPr/>
          <w:p>
            <w:pPr>
              <w:pStyle w:val="Compact"/>
              <w:jc w:val="right"/>
            </w:pPr>
            <w:r>
              <w:t xml:space="preserve">30</w:t>
            </w:r>
          </w:p>
        </w:tc>
        <w:tc>
          <w:tcPr/>
          <w:p>
            <w:pPr>
              <w:pStyle w:val="Compact"/>
              <w:jc w:val="right"/>
            </w:pPr>
            <w:r>
              <w:t xml:space="preserve">78.9</w:t>
            </w:r>
          </w:p>
        </w:tc>
      </w:tr>
      <w:tr>
        <w:tc>
          <w:tcPr/>
          <w:p>
            <w:pPr>
              <w:pStyle w:val="Compact"/>
              <w:jc w:val="left"/>
            </w:pPr>
            <w:r>
              <w:t xml:space="preserve">Working while studying</w:t>
            </w:r>
          </w:p>
        </w:tc>
        <w:tc>
          <w:tcPr/>
          <w:p>
            <w:pPr>
              <w:pStyle w:val="Compact"/>
              <w:jc w:val="right"/>
            </w:pPr>
            <w:r>
              <w:t xml:space="preserve">22</w:t>
            </w:r>
          </w:p>
        </w:tc>
        <w:tc>
          <w:tcPr/>
          <w:p>
            <w:pPr>
              <w:pStyle w:val="Compact"/>
              <w:jc w:val="right"/>
            </w:pPr>
            <w:r>
              <w:t xml:space="preserve">57.9</w:t>
            </w:r>
          </w:p>
        </w:tc>
      </w:tr>
      <w:tr>
        <w:tc>
          <w:tcPr/>
          <w:p>
            <w:pPr>
              <w:pStyle w:val="Compact"/>
              <w:jc w:val="left"/>
            </w:pPr>
            <w:r>
              <w:t xml:space="preserve">Submission device: iPhone / Android</w:t>
            </w:r>
          </w:p>
        </w:tc>
        <w:tc>
          <w:tcPr/>
          <w:p>
            <w:pPr>
              <w:pStyle w:val="Compact"/>
              <w:jc w:val="right"/>
            </w:pPr>
            <w:r>
              <w:t xml:space="preserve">24 / 14</w:t>
            </w:r>
          </w:p>
        </w:tc>
        <w:tc>
          <w:tcPr/>
          <w:p>
            <w:pPr>
              <w:pStyle w:val="Compact"/>
              <w:jc w:val="right"/>
            </w:pPr>
            <w:r>
              <w:t xml:space="preserve">63.2 / 36.8</w:t>
            </w:r>
          </w:p>
        </w:tc>
      </w:tr>
      <w:tr>
        <w:tc>
          <w:tcPr/>
          <w:p>
            <w:pPr>
              <w:pStyle w:val="Compact"/>
              <w:jc w:val="left"/>
            </w:pPr>
            <w:r>
              <w:t xml:space="preserve">Total</w:t>
            </w:r>
          </w:p>
        </w:tc>
        <w:tc>
          <w:tcPr/>
          <w:p>
            <w:pPr>
              <w:pStyle w:val="Compact"/>
              <w:jc w:val="right"/>
            </w:pPr>
            <w:r>
              <w:t xml:space="preserve">38</w:t>
            </w:r>
          </w:p>
        </w:tc>
        <w:tc>
          <w:tcPr/>
          <w:p>
            <w:pPr>
              <w:pStyle w:val="Compact"/>
              <w:jc w:val="right"/>
            </w:pPr>
            <w:r>
              <w:t xml:space="preserve">100</w:t>
            </w:r>
          </w:p>
        </w:tc>
      </w:tr>
    </w:tbl>
    <w:p>
      <w:pPr>
        <w:pStyle w:val="BodyText"/>
      </w:pPr>
      <w:r>
        <w:rPr>
          <w:iCs/>
          <w:i/>
        </w:rPr>
        <w:t xml:space="preserve">Note.</w:t>
      </w:r>
      <w:r>
        <w:t xml:space="preserve"> </w:t>
      </w:r>
      <w:r>
        <w:t xml:space="preserve">Convenience sample, Wenjuan, 5 to 8 February 2022. Device is the operating system recorded at submission.</w:t>
      </w:r>
    </w:p>
    <w:p>
      <w:pPr>
        <w:pStyle w:val="BodyText"/>
      </w:pPr>
      <w:r>
        <w:t xml:space="preserve">Table 2 summarises reported conditions. Unstable networks (76.3%) and power interruptions (42.1%) were commonly ticked. Speed was split: 36.8% good or very good, 36.8% average, 26.3% bad or very bad. Four respondents (10.5%) said their country did not have internet, yet all 38 submitted an online form. The item wording does not allow a firm reinterpretation; we report the tick as given. Only 11 of 38 (28.9%) described the home as quiet.</w:t>
      </w:r>
    </w:p>
    <w:p>
      <w:pPr>
        <w:pStyle w:val="BodyText"/>
      </w:pPr>
      <w:r>
        <w:rPr>
          <w:bCs/>
          <w:b/>
        </w:rPr>
        <w:t xml:space="preserve">Table 2</w:t>
      </w:r>
    </w:p>
    <w:p>
      <w:pPr>
        <w:pStyle w:val="BodyText"/>
      </w:pPr>
      <w:r>
        <w:rPr>
          <w:iCs/>
          <w:i/>
        </w:rPr>
        <w:t xml:space="preserve">Reported conditions and selected outcomes (N = 38)</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Indicator</w:t>
            </w:r>
          </w:p>
        </w:tc>
        <w:tc>
          <w:tcPr/>
          <w:p>
            <w:pPr>
              <w:pStyle w:val="Compact"/>
              <w:jc w:val="right"/>
            </w:pPr>
            <w:r>
              <w:t xml:space="preserve">n</w:t>
            </w:r>
          </w:p>
        </w:tc>
        <w:tc>
          <w:tcPr/>
          <w:p>
            <w:pPr>
              <w:pStyle w:val="Compact"/>
              <w:jc w:val="right"/>
            </w:pPr>
            <w:r>
              <w:t xml:space="preserve">%</w:t>
            </w:r>
          </w:p>
        </w:tc>
      </w:tr>
      <w:tr>
        <w:tc>
          <w:tcPr/>
          <w:p>
            <w:pPr>
              <w:pStyle w:val="Compact"/>
              <w:jc w:val="left"/>
            </w:pPr>
            <w:r>
              <w:t xml:space="preserve">Unstable network</w:t>
            </w:r>
          </w:p>
        </w:tc>
        <w:tc>
          <w:tcPr/>
          <w:p>
            <w:pPr>
              <w:pStyle w:val="Compact"/>
              <w:jc w:val="right"/>
            </w:pPr>
            <w:r>
              <w:t xml:space="preserve">29</w:t>
            </w:r>
          </w:p>
        </w:tc>
        <w:tc>
          <w:tcPr/>
          <w:p>
            <w:pPr>
              <w:pStyle w:val="Compact"/>
              <w:jc w:val="right"/>
            </w:pPr>
            <w:r>
              <w:t xml:space="preserve">76.3</w:t>
            </w:r>
          </w:p>
        </w:tc>
      </w:tr>
      <w:tr>
        <w:tc>
          <w:tcPr/>
          <w:p>
            <w:pPr>
              <w:pStyle w:val="Compact"/>
              <w:jc w:val="left"/>
            </w:pPr>
            <w:r>
              <w:t xml:space="preserve">Power interruptions (export label: no electricity)</w:t>
            </w:r>
          </w:p>
        </w:tc>
        <w:tc>
          <w:tcPr/>
          <w:p>
            <w:pPr>
              <w:pStyle w:val="Compact"/>
              <w:jc w:val="right"/>
            </w:pPr>
            <w:r>
              <w:t xml:space="preserve">16</w:t>
            </w:r>
          </w:p>
        </w:tc>
        <w:tc>
          <w:tcPr/>
          <w:p>
            <w:pPr>
              <w:pStyle w:val="Compact"/>
              <w:jc w:val="right"/>
            </w:pPr>
            <w:r>
              <w:t xml:space="preserve">42.1</w:t>
            </w:r>
          </w:p>
        </w:tc>
      </w:tr>
      <w:tr>
        <w:tc>
          <w:tcPr/>
          <w:p>
            <w:pPr>
              <w:pStyle w:val="Compact"/>
              <w:jc w:val="left"/>
            </w:pPr>
            <w:r>
              <w:t xml:space="preserve">No signal</w:t>
            </w:r>
          </w:p>
        </w:tc>
        <w:tc>
          <w:tcPr/>
          <w:p>
            <w:pPr>
              <w:pStyle w:val="Compact"/>
              <w:jc w:val="right"/>
            </w:pPr>
            <w:r>
              <w:t xml:space="preserve">12</w:t>
            </w:r>
          </w:p>
        </w:tc>
        <w:tc>
          <w:tcPr/>
          <w:p>
            <w:pPr>
              <w:pStyle w:val="Compact"/>
              <w:jc w:val="right"/>
            </w:pPr>
            <w:r>
              <w:t xml:space="preserve">31.6</w:t>
            </w:r>
          </w:p>
        </w:tc>
      </w:tr>
      <w:tr>
        <w:tc>
          <w:tcPr/>
          <w:p>
            <w:pPr>
              <w:pStyle w:val="Compact"/>
              <w:jc w:val="left"/>
            </w:pPr>
            <w:r>
              <w:t xml:space="preserve">Internet speed poor or very poor</w:t>
            </w:r>
          </w:p>
        </w:tc>
        <w:tc>
          <w:tcPr/>
          <w:p>
            <w:pPr>
              <w:pStyle w:val="Compact"/>
              <w:jc w:val="right"/>
            </w:pPr>
            <w:r>
              <w:t xml:space="preserve">10</w:t>
            </w:r>
          </w:p>
        </w:tc>
        <w:tc>
          <w:tcPr/>
          <w:p>
            <w:pPr>
              <w:pStyle w:val="Compact"/>
              <w:jc w:val="right"/>
            </w:pPr>
            <w:r>
              <w:t xml:space="preserve">26.3</w:t>
            </w:r>
          </w:p>
        </w:tc>
      </w:tr>
      <w:tr>
        <w:tc>
          <w:tcPr/>
          <w:p>
            <w:pPr>
              <w:pStyle w:val="Compact"/>
              <w:jc w:val="left"/>
            </w:pPr>
            <w:r>
              <w:t xml:space="preserve">Home not quiet</w:t>
            </w:r>
          </w:p>
        </w:tc>
        <w:tc>
          <w:tcPr/>
          <w:p>
            <w:pPr>
              <w:pStyle w:val="Compact"/>
              <w:jc w:val="right"/>
            </w:pPr>
            <w:r>
              <w:t xml:space="preserve">27</w:t>
            </w:r>
          </w:p>
        </w:tc>
        <w:tc>
          <w:tcPr/>
          <w:p>
            <w:pPr>
              <w:pStyle w:val="Compact"/>
              <w:jc w:val="right"/>
            </w:pPr>
            <w:r>
              <w:t xml:space="preserve">71.1</w:t>
            </w:r>
          </w:p>
        </w:tc>
      </w:tr>
      <w:tr>
        <w:tc>
          <w:tcPr/>
          <w:p>
            <w:pPr>
              <w:pStyle w:val="Compact"/>
              <w:jc w:val="left"/>
            </w:pPr>
            <w:r>
              <w:t xml:space="preserve">Home affects study very much</w:t>
            </w:r>
          </w:p>
        </w:tc>
        <w:tc>
          <w:tcPr/>
          <w:p>
            <w:pPr>
              <w:pStyle w:val="Compact"/>
              <w:jc w:val="right"/>
            </w:pPr>
            <w:r>
              <w:t xml:space="preserve">14</w:t>
            </w:r>
          </w:p>
        </w:tc>
        <w:tc>
          <w:tcPr/>
          <w:p>
            <w:pPr>
              <w:pStyle w:val="Compact"/>
              <w:jc w:val="right"/>
            </w:pPr>
            <w:r>
              <w:t xml:space="preserve">36.8</w:t>
            </w:r>
          </w:p>
        </w:tc>
      </w:tr>
      <w:tr>
        <w:tc>
          <w:tcPr/>
          <w:p>
            <w:pPr>
              <w:pStyle w:val="Compact"/>
              <w:jc w:val="left"/>
            </w:pPr>
            <w:r>
              <w:t xml:space="preserve">Very high psychological stress</w:t>
            </w:r>
          </w:p>
        </w:tc>
        <w:tc>
          <w:tcPr/>
          <w:p>
            <w:pPr>
              <w:pStyle w:val="Compact"/>
              <w:jc w:val="right"/>
            </w:pPr>
            <w:r>
              <w:t xml:space="preserve">14</w:t>
            </w:r>
          </w:p>
        </w:tc>
        <w:tc>
          <w:tcPr/>
          <w:p>
            <w:pPr>
              <w:pStyle w:val="Compact"/>
              <w:jc w:val="right"/>
            </w:pPr>
            <w:r>
              <w:t xml:space="preserve">36.8</w:t>
            </w:r>
          </w:p>
        </w:tc>
      </w:tr>
      <w:tr>
        <w:tc>
          <w:tcPr/>
          <w:p>
            <w:pPr>
              <w:pStyle w:val="Compact"/>
              <w:jc w:val="left"/>
            </w:pPr>
            <w:r>
              <w:t xml:space="preserve">Online cannot replace face-to-face</w:t>
            </w:r>
          </w:p>
        </w:tc>
        <w:tc>
          <w:tcPr/>
          <w:p>
            <w:pPr>
              <w:pStyle w:val="Compact"/>
              <w:jc w:val="right"/>
            </w:pPr>
            <w:r>
              <w:t xml:space="preserve">19</w:t>
            </w:r>
          </w:p>
        </w:tc>
        <w:tc>
          <w:tcPr/>
          <w:p>
            <w:pPr>
              <w:pStyle w:val="Compact"/>
              <w:jc w:val="right"/>
            </w:pPr>
            <w:r>
              <w:t xml:space="preserve">50.0</w:t>
            </w:r>
          </w:p>
        </w:tc>
      </w:tr>
      <w:tr>
        <w:tc>
          <w:tcPr/>
          <w:p>
            <w:pPr>
              <w:pStyle w:val="Compact"/>
              <w:jc w:val="left"/>
            </w:pPr>
            <w:r>
              <w:t xml:space="preserve">Learned little or nothing online</w:t>
            </w:r>
          </w:p>
        </w:tc>
        <w:tc>
          <w:tcPr/>
          <w:p>
            <w:pPr>
              <w:pStyle w:val="Compact"/>
              <w:jc w:val="right"/>
            </w:pPr>
            <w:r>
              <w:t xml:space="preserve">11</w:t>
            </w:r>
          </w:p>
        </w:tc>
        <w:tc>
          <w:tcPr/>
          <w:p>
            <w:pPr>
              <w:pStyle w:val="Compact"/>
              <w:jc w:val="right"/>
            </w:pPr>
            <w:r>
              <w:t xml:space="preserve">28.9</w:t>
            </w:r>
          </w:p>
        </w:tc>
      </w:tr>
    </w:tbl>
    <w:p>
      <w:pPr>
        <w:pStyle w:val="BodyText"/>
      </w:pPr>
      <w:r>
        <w:t xml:space="preserve">Among those who said the home affected study very much, 11 of 14 also reported very high psychological stress; among the others, 3 of 24 did (Fisher’s exact</w:t>
      </w:r>
      <w:r>
        <w:t xml:space="preserve"> </w:t>
      </w:r>
      <w:r>
        <w:rPr>
          <w:iCs/>
          <w:i/>
        </w:rPr>
        <w:t xml:space="preserve">p</w:t>
      </w:r>
      <w:r>
        <w:t xml:space="preserve"> </w:t>
      </w:r>
      <w:r>
        <w:t xml:space="preserve">= .00008). This is a co-occurrence in this file. It is not evidence that the household caused stress. The most salient descriptive stress finding was that 36.8% reported very high stress.</w:t>
      </w:r>
    </w:p>
    <w:bookmarkEnd w:id="34"/>
    <w:bookmarkStart w:id="35" w:name="reported-platform-access"/>
    <w:p>
      <w:pPr>
        <w:pStyle w:val="Heading3"/>
      </w:pPr>
      <w:r>
        <w:t xml:space="preserve">4.2 Reported platform access</w:t>
      </w:r>
    </w:p>
    <w:p>
      <w:pPr>
        <w:pStyle w:val="FirstParagraph"/>
      </w:pPr>
      <w:r>
        <w:t xml:space="preserve">Respondents reported uneven access to institutionally familiar and consumer-facing platforms (Table 3). This pattern is interpreted as a possible platform-geography dimension of delivery-context fit. The survey cannot isolate country restrictions, routing, account rules, skills, or virtual private networks.</w:t>
      </w:r>
    </w:p>
    <w:p>
      <w:pPr>
        <w:pStyle w:val="BodyText"/>
      </w:pPr>
      <w:r>
        <w:t xml:space="preserve">Tools reported as used for class were Tencent Meeting (71.1%), Zoom (47.4%), and WeChat (31.6%). Tools marked unusable</w:t>
      </w:r>
      <w:r>
        <w:t xml:space="preserve"> </w:t>
      </w:r>
      <w:r>
        <w:t xml:space="preserve">“</w:t>
      </w:r>
      <w:r>
        <w:t xml:space="preserve">in my country</w:t>
      </w:r>
      <w:r>
        <w:t xml:space="preserve">”</w:t>
      </w:r>
      <w:r>
        <w:t xml:space="preserve"> </w:t>
      </w:r>
      <w:r>
        <w:t xml:space="preserve">included QQ (50.0%), Chaoxing (42.1%), DingTalk (28.9%), and 中国慕课 (28.9%). Tools marked available included Zoom (71.1%), WhatsApp (68.4%), Tencent Meeting (57.9%), and WeChat (39.5%). WhatsApp appears only as available; the retained form did not code whether it was used for class. Tencent Meeting was the most used class tool but was marked available by fewer respondents. That discrepancy is left as an item-level inconsistency.</w:t>
      </w:r>
    </w:p>
    <w:p>
      <w:pPr>
        <w:pStyle w:val="BodyText"/>
      </w:pPr>
      <w:r>
        <w:rPr>
          <w:bCs/>
          <w:b/>
        </w:rPr>
        <w:t xml:space="preserve">Table 3</w:t>
      </w:r>
    </w:p>
    <w:p>
      <w:pPr>
        <w:pStyle w:val="BodyText"/>
      </w:pPr>
      <w:r>
        <w:rPr>
          <w:iCs/>
          <w:i/>
        </w:rPr>
        <w:t xml:space="preserve">Platforms used, blocked, and available (multiple response, % of 38)</w:t>
      </w:r>
    </w:p>
    <w:tbl>
      <w:tblPr>
        <w:tblStyle w:val="Table"/>
        <w:tblW w:type="pct" w:w="5000"/>
        <w:tblLook w:firstRow="1" w:lastRow="0" w:firstColumn="0" w:lastColumn="0" w:noHBand="0" w:noVBand="0" w:val="0020"/>
        <w:jc w:val="start"/>
      </w:tblPr>
      <w:tblGrid>
        <w:gridCol w:w="1584"/>
        <w:gridCol w:w="2112"/>
        <w:gridCol w:w="2112"/>
        <w:gridCol w:w="2112"/>
      </w:tblGrid>
      <w:tr>
        <w:trPr>
          <w:tblHeader w:val="true"/>
        </w:trPr>
        <w:tc>
          <w:tcPr/>
          <w:p>
            <w:pPr>
              <w:pStyle w:val="Compact"/>
              <w:jc w:val="left"/>
            </w:pPr>
            <w:r>
              <w:t xml:space="preserve">Platform</w:t>
            </w:r>
          </w:p>
        </w:tc>
        <w:tc>
          <w:tcPr/>
          <w:p>
            <w:pPr>
              <w:pStyle w:val="Compact"/>
              <w:jc w:val="right"/>
            </w:pPr>
            <w:r>
              <w:t xml:space="preserve">Used for class</w:t>
            </w:r>
          </w:p>
        </w:tc>
        <w:tc>
          <w:tcPr/>
          <w:p>
            <w:pPr>
              <w:pStyle w:val="Compact"/>
              <w:jc w:val="right"/>
            </w:pPr>
            <w:r>
              <w:t xml:space="preserve">Cannot use in my country</w:t>
            </w:r>
          </w:p>
        </w:tc>
        <w:tc>
          <w:tcPr/>
          <w:p>
            <w:pPr>
              <w:pStyle w:val="Compact"/>
              <w:jc w:val="right"/>
            </w:pPr>
            <w:r>
              <w:t xml:space="preserve">Can use in my country</w:t>
            </w:r>
          </w:p>
        </w:tc>
      </w:tr>
      <w:tr>
        <w:tc>
          <w:tcPr/>
          <w:p>
            <w:pPr>
              <w:pStyle w:val="Compact"/>
              <w:jc w:val="left"/>
            </w:pPr>
            <w:r>
              <w:t xml:space="preserve">Tencent Meeting</w:t>
            </w:r>
          </w:p>
        </w:tc>
        <w:tc>
          <w:tcPr/>
          <w:p>
            <w:pPr>
              <w:pStyle w:val="Compact"/>
              <w:jc w:val="right"/>
            </w:pPr>
            <w:r>
              <w:t xml:space="preserve">71.1</w:t>
            </w:r>
          </w:p>
        </w:tc>
        <w:tc>
          <w:tcPr/>
          <w:p>
            <w:pPr>
              <w:pStyle w:val="Compact"/>
              <w:jc w:val="right"/>
            </w:pPr>
            <w:r>
              <w:t xml:space="preserve">n.a.</w:t>
            </w:r>
          </w:p>
        </w:tc>
        <w:tc>
          <w:tcPr/>
          <w:p>
            <w:pPr>
              <w:pStyle w:val="Compact"/>
              <w:jc w:val="right"/>
            </w:pPr>
            <w:r>
              <w:t xml:space="preserve">57.9</w:t>
            </w:r>
          </w:p>
        </w:tc>
      </w:tr>
      <w:tr>
        <w:tc>
          <w:tcPr/>
          <w:p>
            <w:pPr>
              <w:pStyle w:val="Compact"/>
              <w:jc w:val="left"/>
            </w:pPr>
            <w:r>
              <w:t xml:space="preserve">Zoom</w:t>
            </w:r>
          </w:p>
        </w:tc>
        <w:tc>
          <w:tcPr/>
          <w:p>
            <w:pPr>
              <w:pStyle w:val="Compact"/>
              <w:jc w:val="right"/>
            </w:pPr>
            <w:r>
              <w:t xml:space="preserve">47.4</w:t>
            </w:r>
          </w:p>
        </w:tc>
        <w:tc>
          <w:tcPr/>
          <w:p>
            <w:pPr>
              <w:pStyle w:val="Compact"/>
              <w:jc w:val="right"/>
            </w:pPr>
            <w:r>
              <w:t xml:space="preserve">n.a.</w:t>
            </w:r>
          </w:p>
        </w:tc>
        <w:tc>
          <w:tcPr/>
          <w:p>
            <w:pPr>
              <w:pStyle w:val="Compact"/>
              <w:jc w:val="right"/>
            </w:pPr>
            <w:r>
              <w:t xml:space="preserve">71.1</w:t>
            </w:r>
          </w:p>
        </w:tc>
      </w:tr>
      <w:tr>
        <w:tc>
          <w:tcPr/>
          <w:p>
            <w:pPr>
              <w:pStyle w:val="Compact"/>
              <w:jc w:val="left"/>
            </w:pPr>
            <w:r>
              <w:t xml:space="preserve">WeChat</w:t>
            </w:r>
          </w:p>
        </w:tc>
        <w:tc>
          <w:tcPr/>
          <w:p>
            <w:pPr>
              <w:pStyle w:val="Compact"/>
              <w:jc w:val="right"/>
            </w:pPr>
            <w:r>
              <w:t xml:space="preserve">31.6</w:t>
            </w:r>
          </w:p>
        </w:tc>
        <w:tc>
          <w:tcPr/>
          <w:p>
            <w:pPr>
              <w:pStyle w:val="Compact"/>
              <w:jc w:val="right"/>
            </w:pPr>
            <w:r>
              <w:t xml:space="preserve">n.a.</w:t>
            </w:r>
          </w:p>
        </w:tc>
        <w:tc>
          <w:tcPr/>
          <w:p>
            <w:pPr>
              <w:pStyle w:val="Compact"/>
              <w:jc w:val="right"/>
            </w:pPr>
            <w:r>
              <w:t xml:space="preserve">39.5</w:t>
            </w:r>
          </w:p>
        </w:tc>
      </w:tr>
      <w:tr>
        <w:tc>
          <w:tcPr/>
          <w:p>
            <w:pPr>
              <w:pStyle w:val="Compact"/>
              <w:jc w:val="left"/>
            </w:pPr>
            <w:r>
              <w:t xml:space="preserve">WhatsApp</w:t>
            </w:r>
          </w:p>
        </w:tc>
        <w:tc>
          <w:tcPr/>
          <w:p>
            <w:pPr>
              <w:pStyle w:val="Compact"/>
              <w:jc w:val="right"/>
            </w:pPr>
            <w:r>
              <w:t xml:space="preserve">n.a.</w:t>
            </w:r>
          </w:p>
        </w:tc>
        <w:tc>
          <w:tcPr/>
          <w:p>
            <w:pPr>
              <w:pStyle w:val="Compact"/>
              <w:jc w:val="right"/>
            </w:pPr>
            <w:r>
              <w:t xml:space="preserve">n.a.</w:t>
            </w:r>
          </w:p>
        </w:tc>
        <w:tc>
          <w:tcPr/>
          <w:p>
            <w:pPr>
              <w:pStyle w:val="Compact"/>
              <w:jc w:val="right"/>
            </w:pPr>
            <w:r>
              <w:t xml:space="preserve">68.4</w:t>
            </w:r>
          </w:p>
        </w:tc>
      </w:tr>
      <w:tr>
        <w:tc>
          <w:tcPr/>
          <w:p>
            <w:pPr>
              <w:pStyle w:val="Compact"/>
              <w:jc w:val="left"/>
            </w:pPr>
            <w:r>
              <w:t xml:space="preserve">QQ</w:t>
            </w:r>
          </w:p>
        </w:tc>
        <w:tc>
          <w:tcPr/>
          <w:p>
            <w:pPr>
              <w:pStyle w:val="Compact"/>
              <w:jc w:val="right"/>
            </w:pPr>
            <w:r>
              <w:t xml:space="preserve">n.a.</w:t>
            </w:r>
          </w:p>
        </w:tc>
        <w:tc>
          <w:tcPr/>
          <w:p>
            <w:pPr>
              <w:pStyle w:val="Compact"/>
              <w:jc w:val="right"/>
            </w:pPr>
            <w:r>
              <w:t xml:space="preserve">50.0</w:t>
            </w:r>
          </w:p>
        </w:tc>
        <w:tc>
          <w:tcPr/>
          <w:p>
            <w:pPr>
              <w:pStyle w:val="Compact"/>
              <w:jc w:val="right"/>
            </w:pPr>
            <w:r>
              <w:t xml:space="preserve">n.a.</w:t>
            </w:r>
          </w:p>
        </w:tc>
      </w:tr>
      <w:tr>
        <w:tc>
          <w:tcPr/>
          <w:p>
            <w:pPr>
              <w:pStyle w:val="Compact"/>
              <w:jc w:val="left"/>
            </w:pPr>
            <w:r>
              <w:t xml:space="preserve">Chaoxing</w:t>
            </w:r>
          </w:p>
        </w:tc>
        <w:tc>
          <w:tcPr/>
          <w:p>
            <w:pPr>
              <w:pStyle w:val="Compact"/>
              <w:jc w:val="right"/>
            </w:pPr>
            <w:r>
              <w:t xml:space="preserve">n.a.</w:t>
            </w:r>
          </w:p>
        </w:tc>
        <w:tc>
          <w:tcPr/>
          <w:p>
            <w:pPr>
              <w:pStyle w:val="Compact"/>
              <w:jc w:val="right"/>
            </w:pPr>
            <w:r>
              <w:t xml:space="preserve">42.1</w:t>
            </w:r>
          </w:p>
        </w:tc>
        <w:tc>
          <w:tcPr/>
          <w:p>
            <w:pPr>
              <w:pStyle w:val="Compact"/>
              <w:jc w:val="right"/>
            </w:pPr>
            <w:r>
              <w:t xml:space="preserve">n.a.</w:t>
            </w:r>
          </w:p>
        </w:tc>
      </w:tr>
      <w:tr>
        <w:tc>
          <w:tcPr/>
          <w:p>
            <w:pPr>
              <w:pStyle w:val="Compact"/>
              <w:jc w:val="left"/>
            </w:pPr>
            <w:r>
              <w:t xml:space="preserve">DingTalk</w:t>
            </w:r>
          </w:p>
        </w:tc>
        <w:tc>
          <w:tcPr/>
          <w:p>
            <w:pPr>
              <w:pStyle w:val="Compact"/>
              <w:jc w:val="right"/>
            </w:pPr>
            <w:r>
              <w:t xml:space="preserve">n.a.</w:t>
            </w:r>
          </w:p>
        </w:tc>
        <w:tc>
          <w:tcPr/>
          <w:p>
            <w:pPr>
              <w:pStyle w:val="Compact"/>
              <w:jc w:val="right"/>
            </w:pPr>
            <w:r>
              <w:t xml:space="preserve">28.9</w:t>
            </w:r>
          </w:p>
        </w:tc>
        <w:tc>
          <w:tcPr/>
          <w:p>
            <w:pPr>
              <w:pStyle w:val="Compact"/>
              <w:jc w:val="right"/>
            </w:pPr>
            <w:r>
              <w:t xml:space="preserve">n.a.</w:t>
            </w:r>
          </w:p>
        </w:tc>
      </w:tr>
      <w:tr>
        <w:tc>
          <w:tcPr/>
          <w:p>
            <w:pPr>
              <w:pStyle w:val="Compact"/>
              <w:jc w:val="left"/>
            </w:pPr>
            <w:r>
              <w:t xml:space="preserve">中国慕课 (Chinese MOOC, as printed)</w:t>
            </w:r>
          </w:p>
        </w:tc>
        <w:tc>
          <w:tcPr/>
          <w:p>
            <w:pPr>
              <w:pStyle w:val="Compact"/>
              <w:jc w:val="right"/>
            </w:pPr>
            <w:r>
              <w:t xml:space="preserve">n.a.</w:t>
            </w:r>
          </w:p>
        </w:tc>
        <w:tc>
          <w:tcPr/>
          <w:p>
            <w:pPr>
              <w:pStyle w:val="Compact"/>
              <w:jc w:val="right"/>
            </w:pPr>
            <w:r>
              <w:t xml:space="preserve">28.9</w:t>
            </w:r>
          </w:p>
        </w:tc>
        <w:tc>
          <w:tcPr/>
          <w:p>
            <w:pPr>
              <w:pStyle w:val="Compact"/>
              <w:jc w:val="right"/>
            </w:pPr>
            <w:r>
              <w:t xml:space="preserve">n.a.</w:t>
            </w:r>
          </w:p>
        </w:tc>
      </w:tr>
    </w:tbl>
    <w:p>
      <w:pPr>
        <w:pStyle w:val="BodyText"/>
      </w:pPr>
      <w:r>
        <w:rPr>
          <w:iCs/>
          <w:i/>
        </w:rPr>
        <w:t xml:space="preserve">Note.</w:t>
      </w:r>
      <w:r>
        <w:t xml:space="preserve"> </w:t>
      </w:r>
      <w:r>
        <w:t xml:space="preserve">n.a. = the item was not asked in that column.</w:t>
      </w:r>
      <w:r>
        <w:t xml:space="preserve"> </w:t>
      </w:r>
      <w:r>
        <w:t xml:space="preserve">“</w:t>
      </w:r>
      <w:r>
        <w:t xml:space="preserve">My country</w:t>
      </w:r>
      <w:r>
        <w:t xml:space="preserve">”</w:t>
      </w:r>
      <w:r>
        <w:t xml:space="preserve"> </w:t>
      </w:r>
      <w:r>
        <w:t xml:space="preserve">is the stem wording. QQ, Chaoxing, DingTalk, and 中国慕课 are platforms often used in Chinese-university teaching; they are not exclusively campus systems.</w:t>
      </w:r>
    </w:p>
    <w:bookmarkEnd w:id="35"/>
    <w:bookmarkStart w:id="36" w:name="perceived-learning-and-internet-speed"/>
    <w:p>
      <w:pPr>
        <w:pStyle w:val="Heading3"/>
      </w:pPr>
      <w:r>
        <w:t xml:space="preserve">4.3 Perceived learning and internet speed</w:t>
      </w:r>
    </w:p>
    <w:p>
      <w:pPr>
        <w:pStyle w:val="FirstParagraph"/>
      </w:pPr>
      <w:r>
        <w:t xml:space="preserve">Active interaction with the teacher</w:t>
      </w:r>
      <w:r>
        <w:t xml:space="preserve"> </w:t>
      </w:r>
      <w:r>
        <w:t xml:space="preserve">“</w:t>
      </w:r>
      <w:r>
        <w:t xml:space="preserve">very much</w:t>
      </w:r>
      <w:r>
        <w:t xml:space="preserve">”</w:t>
      </w:r>
      <w:r>
        <w:t xml:space="preserve"> </w:t>
      </w:r>
      <w:r>
        <w:t xml:space="preserve">was reported by 6 of 38 (15.8%). Classroom talk, when ticked, was mainly dialogue (76.3%) and question and answer (57.9%). Role-play was rare (7.9%).</w:t>
      </w:r>
    </w:p>
    <w:p>
      <w:pPr>
        <w:pStyle w:val="BodyText"/>
      </w:pPr>
      <w:r>
        <w:t xml:space="preserve">On the appraisal items, 18.4% said they could learn</w:t>
      </w:r>
      <w:r>
        <w:t xml:space="preserve"> </w:t>
      </w:r>
      <w:r>
        <w:t xml:space="preserve">“</w:t>
      </w:r>
      <w:r>
        <w:t xml:space="preserve">a lot</w:t>
      </w:r>
      <w:r>
        <w:t xml:space="preserve">”</w:t>
      </w:r>
      <w:r>
        <w:t xml:space="preserve"> </w:t>
      </w:r>
      <w:r>
        <w:t xml:space="preserve">online; 28.9% said little or nothing. Worse internet speed was associated with a worse appraisal index (ρ = .65,</w:t>
      </w:r>
      <w:r>
        <w:t xml:space="preserve"> </w:t>
      </w:r>
      <w:r>
        <w:rPr>
          <w:iCs/>
          <w:i/>
        </w:rPr>
        <w:t xml:space="preserve">p</w:t>
      </w:r>
      <w:r>
        <w:t xml:space="preserve"> </w:t>
      </w:r>
      <w:r>
        <w:t xml:space="preserve">= .000009, bootstrap 95% CI [.36, .84]). A count of three infrastructure ticks (unstable network, power interruptions, no signal) was not associated with the index (ρ = .02,</w:t>
      </w:r>
      <w:r>
        <w:t xml:space="preserve"> </w:t>
      </w:r>
      <w:r>
        <w:rPr>
          <w:iCs/>
          <w:i/>
        </w:rPr>
        <w:t xml:space="preserve">p</w:t>
      </w:r>
      <w:r>
        <w:t xml:space="preserve"> </w:t>
      </w:r>
      <w:r>
        <w:t xml:space="preserve">= .91, bootstrap 95% CI [−.32, .37]). In this file, reported speed co-occurred with appraisal; ticking several problems did not. These are rank associations, not effects of infrastructure on learning.</w:t>
      </w:r>
    </w:p>
    <w:p>
      <w:pPr>
        <w:pStyle w:val="BodyText"/>
      </w:pPr>
      <w:r>
        <w:t xml:space="preserve">Preferred live length was 45 minutes for 50% and 30 minutes for 28.9%. One open comment said that even one minute online was</w:t>
      </w:r>
      <w:r>
        <w:t xml:space="preserve"> </w:t>
      </w:r>
      <w:r>
        <w:t xml:space="preserve">“</w:t>
      </w:r>
      <w:r>
        <w:t xml:space="preserve">not suitable.</w:t>
      </w:r>
      <w:r>
        <w:t xml:space="preserve">”</w:t>
      </w:r>
    </w:p>
    <w:p>
      <w:pPr>
        <w:pStyle w:val="BodyText"/>
      </w:pPr>
      <w:r>
        <w:rPr>
          <w:bCs/>
          <w:b/>
        </w:rPr>
        <w:t xml:space="preserve">Table 4</w:t>
      </w:r>
    </w:p>
    <w:p>
      <w:pPr>
        <w:pStyle w:val="BodyText"/>
      </w:pPr>
      <w:r>
        <w:rPr>
          <w:iCs/>
          <w:i/>
        </w:rPr>
        <w:t xml:space="preserve">Focal associations (N = 38)</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Association</w:t>
            </w:r>
          </w:p>
        </w:tc>
        <w:tc>
          <w:tcPr/>
          <w:p>
            <w:pPr>
              <w:pStyle w:val="Compact"/>
              <w:jc w:val="left"/>
            </w:pPr>
            <w:r>
              <w:t xml:space="preserve">Result</w:t>
            </w:r>
          </w:p>
        </w:tc>
      </w:tr>
      <w:tr>
        <w:tc>
          <w:tcPr/>
          <w:p>
            <w:pPr>
              <w:pStyle w:val="Compact"/>
              <w:jc w:val="left"/>
            </w:pPr>
            <w:r>
              <w:t xml:space="preserve">Home affects study very much × very high stress</w:t>
            </w:r>
          </w:p>
        </w:tc>
        <w:tc>
          <w:tcPr/>
          <w:p>
            <w:pPr>
              <w:pStyle w:val="Compact"/>
              <w:jc w:val="left"/>
            </w:pPr>
            <w:r>
              <w:t xml:space="preserve">11/14 vs 3/24; Fisher’s exact</w:t>
            </w:r>
            <w:r>
              <w:t xml:space="preserve"> </w:t>
            </w:r>
            <w:r>
              <w:rPr>
                <w:iCs/>
                <w:i/>
              </w:rPr>
              <w:t xml:space="preserve">p</w:t>
            </w:r>
            <w:r>
              <w:t xml:space="preserve"> </w:t>
            </w:r>
            <w:r>
              <w:t xml:space="preserve">= .00008</w:t>
            </w:r>
          </w:p>
        </w:tc>
      </w:tr>
      <w:tr>
        <w:tc>
          <w:tcPr/>
          <w:p>
            <w:pPr>
              <w:pStyle w:val="Compact"/>
              <w:jc w:val="left"/>
            </w:pPr>
            <w:r>
              <w:t xml:space="preserve">Speed (worse) × appraisal index (worse)</w:t>
            </w:r>
          </w:p>
        </w:tc>
        <w:tc>
          <w:tcPr/>
          <w:p>
            <w:pPr>
              <w:pStyle w:val="Compact"/>
              <w:jc w:val="left"/>
            </w:pPr>
            <w:r>
              <w:t xml:space="preserve">ρ = .65, bootstrap 95% CI [.36, .84],</w:t>
            </w:r>
            <w:r>
              <w:t xml:space="preserve"> </w:t>
            </w:r>
            <w:r>
              <w:rPr>
                <w:iCs/>
                <w:i/>
              </w:rPr>
              <w:t xml:space="preserve">p</w:t>
            </w:r>
            <w:r>
              <w:t xml:space="preserve"> </w:t>
            </w:r>
            <w:r>
              <w:t xml:space="preserve">= .000009</w:t>
            </w:r>
          </w:p>
        </w:tc>
      </w:tr>
      <w:tr>
        <w:tc>
          <w:tcPr/>
          <w:p>
            <w:pPr>
              <w:pStyle w:val="Compact"/>
              <w:jc w:val="left"/>
            </w:pPr>
            <w:r>
              <w:t xml:space="preserve">Infrastructure-problem count × appraisal index</w:t>
            </w:r>
          </w:p>
        </w:tc>
        <w:tc>
          <w:tcPr/>
          <w:p>
            <w:pPr>
              <w:pStyle w:val="Compact"/>
              <w:jc w:val="left"/>
            </w:pPr>
            <w:r>
              <w:t xml:space="preserve">ρ = .02, bootstrap 95% CI [−.32, .37],</w:t>
            </w:r>
            <w:r>
              <w:t xml:space="preserve"> </w:t>
            </w:r>
            <w:r>
              <w:rPr>
                <w:iCs/>
                <w:i/>
              </w:rPr>
              <w:t xml:space="preserve">p</w:t>
            </w:r>
            <w:r>
              <w:t xml:space="preserve"> </w:t>
            </w:r>
            <w:r>
              <w:t xml:space="preserve">= .91</w:t>
            </w:r>
          </w:p>
        </w:tc>
      </w:tr>
    </w:tbl>
    <w:p>
      <w:pPr>
        <w:pStyle w:val="BodyText"/>
      </w:pPr>
      <w:r>
        <w:rPr>
          <w:iCs/>
          <w:i/>
        </w:rPr>
        <w:t xml:space="preserve">Note.</w:t>
      </w:r>
      <w:r>
        <w:t xml:space="preserve"> </w:t>
      </w:r>
      <w:r>
        <w:t xml:space="preserve">Analyses are exploratory. Odds ratios are omitted.</w:t>
      </w:r>
    </w:p>
    <w:p>
      <w:pPr>
        <w:pStyle w:val="BodyText"/>
      </w:pPr>
      <w:r>
        <w:t xml:space="preserve">Among Pakistani-nationality respondents only (n = 37), the home–stress table remained 11/14 versus 3/23 (Fisher’s exact</w:t>
      </w:r>
      <w:r>
        <w:t xml:space="preserve"> </w:t>
      </w:r>
      <w:r>
        <w:rPr>
          <w:iCs/>
          <w:i/>
        </w:rPr>
        <w:t xml:space="preserve">p</w:t>
      </w:r>
      <w:r>
        <w:t xml:space="preserve"> </w:t>
      </w:r>
      <w:r>
        <w:t xml:space="preserve">= .00011) and speed × appraisal was ρ = .67 (bootstrap 95% CI [.39, .85]).</w:t>
      </w:r>
    </w:p>
    <w:bookmarkEnd w:id="36"/>
    <w:bookmarkStart w:id="37" w:name="X97201ae18f9cce7e94bf1bc756e03fa139ac895"/>
    <w:p>
      <w:pPr>
        <w:pStyle w:val="Heading3"/>
      </w:pPr>
      <w:r>
        <w:t xml:space="preserve">4.4 Replacement judgement (secondary gender note)</w:t>
      </w:r>
    </w:p>
    <w:p>
      <w:pPr>
        <w:pStyle w:val="FirstParagraph"/>
      </w:pPr>
      <w:r>
        <w:t xml:space="preserve">Nineteen of 38 said online study could replace campus classes and 19 said it could not. Among women, 9 of 11 said it could not; among men, 10 of 27 said so. With 11 women this is a cautious exploratory observation of perceived legitimacy in this sample. It is not a gender finding about Pakistani households and is not treated as a focal test (Appendix B).</w:t>
      </w:r>
    </w:p>
    <w:bookmarkEnd w:id="37"/>
    <w:bookmarkEnd w:id="38"/>
    <w:bookmarkStart w:id="39" w:name="discussion"/>
    <w:p>
      <w:pPr>
        <w:pStyle w:val="Heading2"/>
      </w:pPr>
      <w:r>
        <w:t xml:space="preserve">5. Discussion</w:t>
      </w:r>
    </w:p>
    <w:p>
      <w:pPr>
        <w:pStyle w:val="FirstParagraph"/>
      </w:pPr>
      <w:r>
        <w:t xml:space="preserve">This historically situated file suggests a possible delivery-context mismatch: a travelling Chinese-university language course was reported alongside household power and network problems and uneven access to applications often used in Chinese higher education. Localisation of content and materials remains necessary (Zhao, 2020; Lu et al., 2024). In this sample, those layers would not have addressed the live hour that respondents associated with an unstable connection or an application marked unusable.</w:t>
      </w:r>
    </w:p>
    <w:p>
      <w:pPr>
        <w:pStyle w:val="BodyText"/>
      </w:pPr>
      <w:r>
        <w:t xml:space="preserve">Based on these findings, possible design considerations—not established solutions—include shorter or asynchronous oral alternatives, assessment that does not assume a campus oral hour, and a required platform that respondents can open. WhatsApp was marked available here; it was not recorded as used for class. The findings do not show that later hybrid ICLE has repeated this pattern. They suggest that hybrid models</w:t>
      </w:r>
      <w:r>
        <w:t xml:space="preserve"> </w:t>
      </w:r>
      <w:r>
        <w:rPr>
          <w:iCs/>
          <w:i/>
        </w:rPr>
        <w:t xml:space="preserve">may</w:t>
      </w:r>
      <w:r>
        <w:t xml:space="preserve"> </w:t>
      </w:r>
      <w:r>
        <w:t xml:space="preserve">reproduce a similar mismatch if delivery assumptions are not examined (Stockwell &amp; Wang, 2023).</w:t>
      </w:r>
    </w:p>
    <w:p>
      <w:pPr>
        <w:pStyle w:val="BodyText"/>
      </w:pPr>
      <w:r>
        <w:t xml:space="preserve">Participation in this file co-occurred with reported platform access, power and connectivity problems, and a home environment that many described as not quiet. That is a description of domestic participation conditions, not a claim that inequality is</w:t>
      </w:r>
      <w:r>
        <w:t xml:space="preserve"> </w:t>
      </w:r>
      <w:r>
        <w:t xml:space="preserve">“</w:t>
      </w:r>
      <w:r>
        <w:t xml:space="preserve">cultural.</w:t>
      </w:r>
      <w:r>
        <w:t xml:space="preserve">”</w:t>
      </w:r>
    </w:p>
    <w:bookmarkEnd w:id="39"/>
    <w:bookmarkStart w:id="40" w:name="limitations"/>
    <w:p>
      <w:pPr>
        <w:pStyle w:val="Heading2"/>
      </w:pPr>
      <w:r>
        <w:t xml:space="preserve">6. Limitations</w:t>
      </w:r>
    </w:p>
    <w:p>
      <w:pPr>
        <w:pStyle w:val="FirstParagraph"/>
      </w:pPr>
      <w:r>
        <w:t xml:space="preserve">The sample is small (N = 38), network-recruited, and majority male. Recruitment channel, host university, programme type, and place of residence that week were not recorded. IP metadata are not a location measure. All outcomes are self-report. The appraisal index is descriptive, not a validated scale. The form did not measure institutional adaptation, so localisation of delivery is a conceptual reading of student-side conditions. Data are from February 2022 and concern emergency remote teaching. They are not evidence about current hybrid education. No ethics-committee number is available for the 2022 collection (Section 3.6).</w:t>
      </w:r>
    </w:p>
    <w:bookmarkEnd w:id="40"/>
    <w:bookmarkStart w:id="41" w:name="conclusion"/>
    <w:p>
      <w:pPr>
        <w:pStyle w:val="Heading2"/>
      </w:pPr>
      <w:r>
        <w:t xml:space="preserve">7. Conclusion</w:t>
      </w:r>
    </w:p>
    <w:p>
      <w:pPr>
        <w:pStyle w:val="FirstParagraph"/>
      </w:pPr>
      <w:r>
        <w:t xml:space="preserve">In this exploratory emergency-remote-teaching sample of mainly Pakistani Chinese-university language students, reported household infrastructure and platform access co-occurred with very high stress and with more negative perceived-learning appraisal. The conceptual suggestion is that ICLE localisation may need to include delivery-context fit—time, platform, task, participation mode, and assessment—as well as content adaptation. That suggestion is bounded by N = 38 and by a 2022 file.</w:t>
      </w:r>
    </w:p>
    <w:bookmarkEnd w:id="41"/>
    <w:bookmarkStart w:id="42" w:name="appendix-a.-appraisal-items-and-coding"/>
    <w:p>
      <w:pPr>
        <w:pStyle w:val="Heading2"/>
      </w:pPr>
      <w:r>
        <w:t xml:space="preserve">Appendix A. Appraisal items and coding</w:t>
      </w:r>
    </w:p>
    <w:p>
      <w:pPr>
        <w:pStyle w:val="FirstParagraph"/>
      </w:pPr>
      <w:r>
        <w:t xml:space="preserve">English glosses of the Chinese stems.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Item</w:t>
            </w:r>
          </w:p>
        </w:tc>
        <w:tc>
          <w:tcPr/>
          <w:p>
            <w:pPr>
              <w:pStyle w:val="Compact"/>
              <w:jc w:val="left"/>
            </w:pPr>
            <w:r>
              <w:t xml:space="preserve">Stem (gloss)</w:t>
            </w:r>
          </w:p>
        </w:tc>
        <w:tc>
          <w:tcPr/>
          <w:p>
            <w:pPr>
              <w:pStyle w:val="Compact"/>
              <w:jc w:val="left"/>
            </w:pPr>
            <w:r>
              <w:t xml:space="preserve">1</w:t>
            </w:r>
          </w:p>
        </w:tc>
        <w:tc>
          <w:tcPr/>
          <w:p>
            <w:pPr>
              <w:pStyle w:val="Compact"/>
              <w:jc w:val="left"/>
            </w:pPr>
            <w:r>
              <w:t xml:space="preserve">Higher</w:t>
            </w:r>
          </w:p>
        </w:tc>
      </w:tr>
      <w:tr>
        <w:tc>
          <w:tcPr/>
          <w:p>
            <w:pPr>
              <w:pStyle w:val="Compact"/>
              <w:jc w:val="left"/>
            </w:pPr>
            <w:r>
              <w:t xml:space="preserve">Learned (Q8)</w:t>
            </w:r>
          </w:p>
        </w:tc>
        <w:tc>
          <w:tcPr/>
          <w:p>
            <w:pPr>
              <w:pStyle w:val="Compact"/>
              <w:jc w:val="left"/>
            </w:pPr>
            <w:r>
              <w:t xml:space="preserve">Can you learn a lot in online class?</w:t>
            </w:r>
          </w:p>
        </w:tc>
        <w:tc>
          <w:tcPr/>
          <w:p>
            <w:pPr>
              <w:pStyle w:val="Compact"/>
              <w:jc w:val="left"/>
            </w:pPr>
            <w:r>
              <w:t xml:space="preserve">a lot</w:t>
            </w:r>
          </w:p>
        </w:tc>
        <w:tc>
          <w:tcPr/>
          <w:p>
            <w:pPr>
              <w:pStyle w:val="Compact"/>
              <w:jc w:val="left"/>
            </w:pPr>
            <w:r>
              <w:t xml:space="preserve">worse appraisal</w:t>
            </w:r>
          </w:p>
        </w:tc>
      </w:tr>
      <w:tr>
        <w:tc>
          <w:tcPr/>
          <w:p>
            <w:pPr>
              <w:pStyle w:val="Compact"/>
              <w:jc w:val="left"/>
            </w:pPr>
            <w:r>
              <w:t xml:space="preserve">Improve (Q9)</w:t>
            </w:r>
          </w:p>
        </w:tc>
        <w:tc>
          <w:tcPr/>
          <w:p>
            <w:pPr>
              <w:pStyle w:val="Compact"/>
              <w:jc w:val="left"/>
            </w:pPr>
            <w:r>
              <w:t xml:space="preserve">Can online study improve Chinese?</w:t>
            </w:r>
          </w:p>
        </w:tc>
        <w:tc>
          <w:tcPr/>
          <w:p>
            <w:pPr>
              <w:pStyle w:val="Compact"/>
              <w:jc w:val="left"/>
            </w:pPr>
            <w:r>
              <w:t xml:space="preserve">very much</w:t>
            </w:r>
          </w:p>
        </w:tc>
        <w:tc>
          <w:tcPr/>
          <w:p>
            <w:pPr>
              <w:pStyle w:val="Compact"/>
              <w:jc w:val="left"/>
            </w:pPr>
            <w:r>
              <w:t xml:space="preserve">worse appraisal</w:t>
            </w:r>
          </w:p>
        </w:tc>
      </w:tr>
      <w:tr>
        <w:tc>
          <w:tcPr/>
          <w:p>
            <w:pPr>
              <w:pStyle w:val="Compact"/>
              <w:jc w:val="left"/>
            </w:pPr>
            <w:r>
              <w:t xml:space="preserve">Interest (Q10)</w:t>
            </w:r>
          </w:p>
        </w:tc>
        <w:tc>
          <w:tcPr/>
          <w:p>
            <w:pPr>
              <w:pStyle w:val="Compact"/>
              <w:jc w:val="left"/>
            </w:pPr>
            <w:r>
              <w:t xml:space="preserve">Does it spark learning interest?</w:t>
            </w:r>
          </w:p>
        </w:tc>
        <w:tc>
          <w:tcPr/>
          <w:p>
            <w:pPr>
              <w:pStyle w:val="Compact"/>
              <w:jc w:val="left"/>
            </w:pPr>
            <w:r>
              <w:t xml:space="preserve">very much</w:t>
            </w:r>
          </w:p>
        </w:tc>
        <w:tc>
          <w:tcPr/>
          <w:p>
            <w:pPr>
              <w:pStyle w:val="Compact"/>
              <w:jc w:val="left"/>
            </w:pPr>
            <w:r>
              <w:t xml:space="preserve">worse appraisal</w:t>
            </w:r>
          </w:p>
        </w:tc>
      </w:tr>
      <w:tr>
        <w:tc>
          <w:tcPr/>
          <w:p>
            <w:pPr>
              <w:pStyle w:val="Compact"/>
              <w:jc w:val="left"/>
            </w:pPr>
            <w:r>
              <w:t xml:space="preserve">Speed (Q14)</w:t>
            </w:r>
          </w:p>
        </w:tc>
        <w:tc>
          <w:tcPr/>
          <w:p>
            <w:pPr>
              <w:pStyle w:val="Compact"/>
              <w:jc w:val="left"/>
            </w:pPr>
            <w:r>
              <w:t xml:space="preserve">Internet speed</w:t>
            </w:r>
          </w:p>
        </w:tc>
        <w:tc>
          <w:tcPr/>
          <w:p>
            <w:pPr>
              <w:pStyle w:val="Compact"/>
              <w:jc w:val="left"/>
            </w:pPr>
            <w:r>
              <w:t xml:space="preserve">very good</w:t>
            </w:r>
          </w:p>
        </w:tc>
        <w:tc>
          <w:tcPr/>
          <w:p>
            <w:pPr>
              <w:pStyle w:val="Compact"/>
              <w:jc w:val="left"/>
            </w:pPr>
            <w:r>
              <w:t xml:space="preserve">worse speed</w:t>
            </w:r>
          </w:p>
        </w:tc>
      </w:tr>
      <w:tr>
        <w:tc>
          <w:tcPr/>
          <w:p>
            <w:pPr>
              <w:pStyle w:val="Compact"/>
              <w:jc w:val="left"/>
            </w:pPr>
            <w:r>
              <w:t xml:space="preserve">Stress (Q24)</w:t>
            </w:r>
          </w:p>
        </w:tc>
        <w:tc>
          <w:tcPr/>
          <w:p>
            <w:pPr>
              <w:pStyle w:val="Compact"/>
              <w:jc w:val="left"/>
            </w:pPr>
            <w:r>
              <w:t xml:space="preserve">Psychological stress</w:t>
            </w:r>
          </w:p>
        </w:tc>
        <w:tc>
          <w:tcPr/>
          <w:p>
            <w:pPr>
              <w:pStyle w:val="Compact"/>
              <w:jc w:val="left"/>
            </w:pPr>
            <w:r>
              <w:t xml:space="preserve">very high</w:t>
            </w:r>
          </w:p>
        </w:tc>
        <w:tc>
          <w:tcPr/>
          <w:p>
            <w:pPr>
              <w:pStyle w:val="Compact"/>
              <w:jc w:val="left"/>
            </w:pPr>
            <w:r>
              <w:t xml:space="preserve">less stress</w:t>
            </w:r>
          </w:p>
        </w:tc>
      </w:tr>
      <w:tr>
        <w:tc>
          <w:tcPr/>
          <w:p>
            <w:pPr>
              <w:pStyle w:val="Compact"/>
              <w:jc w:val="left"/>
            </w:pPr>
            <w:r>
              <w:t xml:space="preserve">Interaction (Q25)</w:t>
            </w:r>
          </w:p>
        </w:tc>
        <w:tc>
          <w:tcPr/>
          <w:p>
            <w:pPr>
              <w:pStyle w:val="Compact"/>
              <w:jc w:val="left"/>
            </w:pPr>
            <w:r>
              <w:t xml:space="preserve">Active interaction with teacher</w:t>
            </w:r>
          </w:p>
        </w:tc>
        <w:tc>
          <w:tcPr/>
          <w:p>
            <w:pPr>
              <w:pStyle w:val="Compact"/>
              <w:jc w:val="left"/>
            </w:pPr>
            <w:r>
              <w:t xml:space="preserve">very much</w:t>
            </w:r>
          </w:p>
        </w:tc>
        <w:tc>
          <w:tcPr/>
          <w:p>
            <w:pPr>
              <w:pStyle w:val="Compact"/>
              <w:jc w:val="left"/>
            </w:pPr>
            <w:r>
              <w:t xml:space="preserve">thinner interaction</w:t>
            </w:r>
          </w:p>
        </w:tc>
      </w:tr>
    </w:tbl>
    <w:p>
      <w:pPr>
        <w:pStyle w:val="BodyText"/>
      </w:pPr>
      <w:r>
        <w:t xml:space="preserve">Index = mean of Q8, Q9, and Q10 (n = 38; no missing on these three).</w:t>
      </w:r>
    </w:p>
    <w:bookmarkEnd w:id="42"/>
    <w:bookmarkStart w:id="43" w:name="appendix-b.-secondary-statistics"/>
    <w:p>
      <w:pPr>
        <w:pStyle w:val="Heading2"/>
      </w:pPr>
      <w:r>
        <w:t xml:space="preserve">Appendix B. Secondary statistics</w:t>
      </w:r>
    </w:p>
    <w:p>
      <w:pPr>
        <w:pStyle w:val="FirstParagraph"/>
      </w:pPr>
      <w:r>
        <w:t xml:space="preserve">See</w:t>
      </w:r>
      <w:r>
        <w:t xml:space="preserve"> </w:t>
      </w:r>
      <w:r>
        <w:rPr>
          <w:rStyle w:val="VerbatimChar"/>
        </w:rPr>
        <w:t xml:space="preserve">analysis/supplementary_stats.md</w:t>
      </w:r>
      <w:r>
        <w:t xml:space="preserve"> </w:t>
      </w:r>
      <w:r>
        <w:t xml:space="preserve">for full tables. Summary: female × cannot-replace and learned-little × cannot-replace have identical cell counts (9/11 vs 10/27; Fisher’s exact</w:t>
      </w:r>
      <w:r>
        <w:t xml:space="preserve"> </w:t>
      </w:r>
      <w:r>
        <w:rPr>
          <w:iCs/>
          <w:i/>
        </w:rPr>
        <w:t xml:space="preserve">p</w:t>
      </w:r>
      <w:r>
        <w:t xml:space="preserve"> </w:t>
      </w:r>
      <w:r>
        <w:t xml:space="preserve">= .029). Poor internet × cannot-replace: 8/10 vs 11/28, Fisher’s exact</w:t>
      </w:r>
      <w:r>
        <w:t xml:space="preserve"> </w:t>
      </w:r>
      <w:r>
        <w:rPr>
          <w:iCs/>
          <w:i/>
        </w:rPr>
        <w:t xml:space="preserve">p</w:t>
      </w:r>
      <w:r>
        <w:t xml:space="preserve"> </w:t>
      </w:r>
      <w:r>
        <w:t xml:space="preserve">= .062. Mann–Whitney tests by gender on ordinals all had</w:t>
      </w:r>
      <w:r>
        <w:t xml:space="preserve"> </w:t>
      </w:r>
      <w:r>
        <w:rPr>
          <w:iCs/>
          <w:i/>
        </w:rPr>
        <w:t xml:space="preserve">p</w:t>
      </w:r>
      <w:r>
        <w:t xml:space="preserve"> </w:t>
      </w:r>
      <w:r>
        <w:t xml:space="preserve">≥ .36.</w:t>
      </w:r>
    </w:p>
    <w:bookmarkEnd w:id="43"/>
    <w:bookmarkStart w:id="44" w:name="references"/>
    <w:p>
      <w:pPr>
        <w:pStyle w:val="Heading2"/>
      </w:pPr>
      <w:r>
        <w:t xml:space="preserve">References</w:t>
      </w:r>
    </w:p>
    <w:p>
      <w:pPr>
        <w:pStyle w:val="FirstParagraph"/>
      </w:pPr>
      <w:r>
        <w:t xml:space="preserve">Ali, W. (2020). Online and remote learning in higher education institutes: A necessity in light of COVID-19 pandemic.</w:t>
      </w:r>
      <w:r>
        <w:t xml:space="preserve"> </w:t>
      </w:r>
      <w:r>
        <w:rPr>
          <w:iCs/>
          <w:i/>
        </w:rPr>
        <w:t xml:space="preserve">Higher Education Studies, 10</w:t>
      </w:r>
      <w:r>
        <w:t xml:space="preserve">(3), 16-25. https://doi.org/10.5539/hes.v10n3p16</w:t>
      </w:r>
    </w:p>
    <w:p>
      <w:pPr>
        <w:pStyle w:val="BodyText"/>
      </w:pPr>
      <w:r>
        <w:t xml:space="preserve">Canagarajah, A. S. (2005).</w:t>
      </w:r>
      <w:r>
        <w:t xml:space="preserve"> </w:t>
      </w:r>
      <w:r>
        <w:rPr>
          <w:iCs/>
          <w:i/>
        </w:rPr>
        <w:t xml:space="preserve">Reclaiming the local in language policy and practice</w:t>
      </w:r>
      <w:r>
        <w:t xml:space="preserve">. Lawrence Erlbaum.</w:t>
      </w:r>
    </w:p>
    <w:p>
      <w:pPr>
        <w:pStyle w:val="BodyText"/>
      </w:pPr>
      <w:r>
        <w:t xml:space="preserve">Gacs, A., Goertler, S., &amp; Spasova, S. (2020). Planned online language education versus crisis-prompted online language teaching: Lessons for the future.</w:t>
      </w:r>
      <w:r>
        <w:t xml:space="preserve"> </w:t>
      </w:r>
      <w:r>
        <w:rPr>
          <w:iCs/>
          <w:i/>
        </w:rPr>
        <w:t xml:space="preserve">Foreign Language Annals, 53</w:t>
      </w:r>
      <w:r>
        <w:t xml:space="preserve">(2), 380-392. https://doi.org/10.1111/flan.12460</w:t>
      </w:r>
    </w:p>
    <w:p>
      <w:pPr>
        <w:pStyle w:val="BodyText"/>
      </w:pPr>
      <w:r>
        <w:t xml:space="preserve">Gao, X., &amp; Hua, Z. (2021). Experiencing Chinese education: Learning of language and culture by international students in Chinese universities.</w:t>
      </w:r>
      <w:r>
        <w:t xml:space="preserve"> </w:t>
      </w:r>
      <w:r>
        <w:rPr>
          <w:iCs/>
          <w:i/>
        </w:rPr>
        <w:t xml:space="preserve">Language, Culture and Curriculum, 34</w:t>
      </w:r>
      <w:r>
        <w:t xml:space="preserve">(4), 353-359. https://doi.org/10.1080/07908318.2020.1871002</w:t>
      </w:r>
    </w:p>
    <w:p>
      <w:pPr>
        <w:pStyle w:val="BodyText"/>
      </w:pPr>
      <w:r>
        <w:t xml:space="preserve">Gong, Y., Gao, X., Li, M., &amp; Lai, C. (2020). Cultural adaptation challenges and strategies during study abroad: New Zealand students in China.</w:t>
      </w:r>
      <w:r>
        <w:t xml:space="preserve"> </w:t>
      </w:r>
      <w:r>
        <w:rPr>
          <w:iCs/>
          <w:i/>
        </w:rPr>
        <w:t xml:space="preserve">Language, Culture and Curriculum, 34</w:t>
      </w:r>
      <w:r>
        <w:t xml:space="preserve">(4), 417-437. https://doi.org/10.1080/07908318.2020.1856129</w:t>
      </w:r>
    </w:p>
    <w:p>
      <w:pPr>
        <w:pStyle w:val="BodyText"/>
      </w:pPr>
      <w:r>
        <w:t xml:space="preserve">Gong, Y., Gao, X., &amp; Lyu, B. (2020). Teaching Chinese as a second or foreign language to non-Chinese learners in mainland China (2014-2018).</w:t>
      </w:r>
      <w:r>
        <w:t xml:space="preserve"> </w:t>
      </w:r>
      <w:r>
        <w:rPr>
          <w:iCs/>
          <w:i/>
        </w:rPr>
        <w:t xml:space="preserve">Language Teaching, 53</w:t>
      </w:r>
      <w:r>
        <w:t xml:space="preserve">(1), 44-62. https://doi.org/10.1017/S0261444819000387</w:t>
      </w:r>
    </w:p>
    <w:p>
      <w:pPr>
        <w:pStyle w:val="BodyText"/>
      </w:pPr>
      <w:r>
        <w:t xml:space="preserve">Guenier, A. W., Xing, M., &amp; Yan, J. (2026). From barriers to breakthroughs: Communicating Chinese culture to Irish learners with a multimodality online course.</w:t>
      </w:r>
      <w:r>
        <w:t xml:space="preserve"> </w:t>
      </w:r>
      <w:r>
        <w:rPr>
          <w:iCs/>
          <w:i/>
        </w:rPr>
        <w:t xml:space="preserve">Language, Culture and Curriculum</w:t>
      </w:r>
      <w:r>
        <w:t xml:space="preserve">. Advance online publication. https://doi.org/10.1080/07908318.2026.2626775</w:t>
      </w:r>
    </w:p>
    <w:p>
      <w:pPr>
        <w:pStyle w:val="BodyText"/>
      </w:pPr>
      <w:r>
        <w:t xml:space="preserve">Guerrettaz, A. M., Engman, M. M., &amp; Matsumoto, Y. (2021). Empirically defining language learning and teaching materials in use: Holistic, situated, and dynamic perspectives.</w:t>
      </w:r>
      <w:r>
        <w:t xml:space="preserve"> </w:t>
      </w:r>
      <w:r>
        <w:rPr>
          <w:iCs/>
          <w:i/>
        </w:rPr>
        <w:t xml:space="preserve">The Modern Language Journal, 105</w:t>
      </w:r>
      <w:r>
        <w:t xml:space="preserve">(S1), 3-20. https://doi.org/10.1111/modl.12691</w:t>
      </w:r>
    </w:p>
    <w:p>
      <w:pPr>
        <w:pStyle w:val="BodyText"/>
      </w:pPr>
      <w:r>
        <w:t xml:space="preserve">Helsper, E. (2021).</w:t>
      </w:r>
      <w:r>
        <w:t xml:space="preserve"> </w:t>
      </w:r>
      <w:r>
        <w:rPr>
          <w:iCs/>
          <w:i/>
        </w:rPr>
        <w:t xml:space="preserve">The digital disconnect: The social causes and consequences of digital inequalities</w:t>
      </w:r>
      <w:r>
        <w:t xml:space="preserve">. SAGE.</w:t>
      </w:r>
    </w:p>
    <w:p>
      <w:pPr>
        <w:pStyle w:val="BodyText"/>
      </w:pPr>
      <w:r>
        <w:t xml:space="preserve">Hodges, C., Moore, S., Lockee, B., Trust, T., &amp; Bond, A. (2020). The difference between emergency remote teaching and online learning.</w:t>
      </w:r>
      <w:r>
        <w:t xml:space="preserve"> </w:t>
      </w:r>
      <w:r>
        <w:rPr>
          <w:iCs/>
          <w:i/>
        </w:rPr>
        <w:t xml:space="preserve">EDUCAUSE Review</w:t>
      </w:r>
      <w:r>
        <w:t xml:space="preserve">. https://er.educause.edu/articles/2020/3/the-difference-between-emergency-remote-teaching-and-online-learning</w:t>
      </w:r>
    </w:p>
    <w:p>
      <w:pPr>
        <w:pStyle w:val="BodyText"/>
      </w:pPr>
      <w:r>
        <w:t xml:space="preserve">Iftikhar, A., Li, C., Jiangyu, L., Xi, C., Tao, W., &amp; Haider, A. A. (2024). Perceptions, challenges, and opportunities of Chinese language learning in Punjab and Sindh, Pakistan: Exploring the role of CPEC.</w:t>
      </w:r>
      <w:r>
        <w:t xml:space="preserve"> </w:t>
      </w:r>
      <w:r>
        <w:rPr>
          <w:iCs/>
          <w:i/>
        </w:rPr>
        <w:t xml:space="preserve">New Directions for Child and Adolescent Development, 2024</w:t>
      </w:r>
      <w:r>
        <w:t xml:space="preserve">, Article 6662409. https://doi.org/10.1155/2024/6662409</w:t>
      </w:r>
    </w:p>
    <w:p>
      <w:pPr>
        <w:pStyle w:val="BodyText"/>
      </w:pPr>
      <w:r>
        <w:t xml:space="preserve">Kumaravadivelu, B. (2001). Toward a postmethod pedagogy.</w:t>
      </w:r>
      <w:r>
        <w:t xml:space="preserve"> </w:t>
      </w:r>
      <w:r>
        <w:rPr>
          <w:iCs/>
          <w:i/>
        </w:rPr>
        <w:t xml:space="preserve">TESOL Quarterly, 35</w:t>
      </w:r>
      <w:r>
        <w:t xml:space="preserve">(4), 537-560. https://doi.org/10.2307/3588427</w:t>
      </w:r>
    </w:p>
    <w:p>
      <w:pPr>
        <w:pStyle w:val="BodyText"/>
      </w:pPr>
      <w:r>
        <w:t xml:space="preserve">Lam, K. Y. (2024). At the intersection of multiliteracies and glocalisation: A case study in a university in Taiwan.</w:t>
      </w:r>
      <w:r>
        <w:t xml:space="preserve"> </w:t>
      </w:r>
      <w:r>
        <w:rPr>
          <w:iCs/>
          <w:i/>
        </w:rPr>
        <w:t xml:space="preserve">Language, Culture and Curriculum, 37</w:t>
      </w:r>
      <w:r>
        <w:t xml:space="preserve">(4), 472-496. https://doi.org/10.1080/07908318.2024.2354874</w:t>
      </w:r>
    </w:p>
    <w:p>
      <w:pPr>
        <w:pStyle w:val="BodyText"/>
      </w:pPr>
      <w:r>
        <w:t xml:space="preserve">Li, J., &amp; Li, C. (2024). A scoping review of the research on the teaching models of online international Chinese language teaching.</w:t>
      </w:r>
      <w:r>
        <w:t xml:space="preserve"> </w:t>
      </w:r>
      <w:r>
        <w:rPr>
          <w:iCs/>
          <w:i/>
        </w:rPr>
        <w:t xml:space="preserve">Journal of Education and Learning, 13</w:t>
      </w:r>
      <w:r>
        <w:t xml:space="preserve">(4), Article 255. https://doi.org/10.5539/jel.v13n4p255</w:t>
      </w:r>
    </w:p>
    <w:p>
      <w:pPr>
        <w:pStyle w:val="BodyText"/>
      </w:pPr>
      <w:r>
        <w:t xml:space="preserve">Lu, X., Tan, A., Ma, Y., Feng, H., &amp; Hanif, B. (2024). Scenario analysis of localization and adaptation of Chinese language teaching.</w:t>
      </w:r>
      <w:r>
        <w:t xml:space="preserve"> </w:t>
      </w:r>
      <w:r>
        <w:rPr>
          <w:iCs/>
          <w:i/>
        </w:rPr>
        <w:t xml:space="preserve">Pakistan Journal of Humanities and Social Sciences, 12</w:t>
      </w:r>
      <w:r>
        <w:t xml:space="preserve">(4), 3257-3281. https://doi.org/10.52131/pjhss.2024.v12i4.2553</w:t>
      </w:r>
    </w:p>
    <w:p>
      <w:pPr>
        <w:pStyle w:val="BodyText"/>
      </w:pPr>
      <w:r>
        <w:t xml:space="preserve">MacIntyre, P. D., Gregersen, T., &amp; Mercer, S. (2020). Language teachers’ coping strategies during the Covid-19 conversion to online teaching: Correlations with stress, wellbeing and negative emotions.</w:t>
      </w:r>
      <w:r>
        <w:t xml:space="preserve"> </w:t>
      </w:r>
      <w:r>
        <w:rPr>
          <w:iCs/>
          <w:i/>
        </w:rPr>
        <w:t xml:space="preserve">System, 94</w:t>
      </w:r>
      <w:r>
        <w:t xml:space="preserve">, 102313. https://doi.org/10.1016/j.system.2020.102313</w:t>
      </w:r>
    </w:p>
    <w:p>
      <w:pPr>
        <w:pStyle w:val="BodyText"/>
      </w:pPr>
      <w:r>
        <w:t xml:space="preserve">McDonough, J., &amp; Shaw, C. (2003).</w:t>
      </w:r>
      <w:r>
        <w:t xml:space="preserve"> </w:t>
      </w:r>
      <w:r>
        <w:rPr>
          <w:iCs/>
          <w:i/>
        </w:rPr>
        <w:t xml:space="preserve">Materials and methods in ELT: A teacher’s guide</w:t>
      </w:r>
      <w:r>
        <w:t xml:space="preserve"> </w:t>
      </w:r>
      <w:r>
        <w:t xml:space="preserve">(2nd ed.). Blackwell.</w:t>
      </w:r>
    </w:p>
    <w:p>
      <w:pPr>
        <w:pStyle w:val="BodyText"/>
      </w:pPr>
      <w:r>
        <w:t xml:space="preserve">Moorhouse, B. L. (2023). Teachers’ digital technology use after a period of online teaching.</w:t>
      </w:r>
      <w:r>
        <w:t xml:space="preserve"> </w:t>
      </w:r>
      <w:r>
        <w:rPr>
          <w:iCs/>
          <w:i/>
        </w:rPr>
        <w:t xml:space="preserve">ELT Journal, 77</w:t>
      </w:r>
      <w:r>
        <w:t xml:space="preserve">(4), 445-457. https://doi.org/10.1093/elt/ccac050</w:t>
      </w:r>
    </w:p>
    <w:p>
      <w:pPr>
        <w:pStyle w:val="BodyText"/>
      </w:pPr>
      <w:r>
        <w:t xml:space="preserve">Moorhouse, B. L., &amp; Kohnke, L. (2021). Responses of the English-language-teaching community to the COVID-19 pandemic.</w:t>
      </w:r>
      <w:r>
        <w:t xml:space="preserve"> </w:t>
      </w:r>
      <w:r>
        <w:rPr>
          <w:iCs/>
          <w:i/>
        </w:rPr>
        <w:t xml:space="preserve">RELC Journal, 52</w:t>
      </w:r>
      <w:r>
        <w:t xml:space="preserve">(3), 359-378. https://doi.org/10.1177/00336882211053052</w:t>
      </w:r>
    </w:p>
    <w:p>
      <w:pPr>
        <w:pStyle w:val="BodyText"/>
      </w:pPr>
      <w:r>
        <w:t xml:space="preserve">Moorhouse, B. L., Wong, K. M., &amp; Li, L. (2023). Teaching with technology in the post-pandemic digital age: Technological normalisation and AI-induced disruptions.</w:t>
      </w:r>
      <w:r>
        <w:t xml:space="preserve"> </w:t>
      </w:r>
      <w:r>
        <w:rPr>
          <w:iCs/>
          <w:i/>
        </w:rPr>
        <w:t xml:space="preserve">RELC Journal, 54</w:t>
      </w:r>
      <w:r>
        <w:t xml:space="preserve">(2), 311-320. https://doi.org/10.1177/00336882231176929</w:t>
      </w:r>
    </w:p>
    <w:p>
      <w:pPr>
        <w:pStyle w:val="BodyText"/>
      </w:pPr>
      <w:r>
        <w:t xml:space="preserve">Raza, O., &amp; Hennessy, S. (2025).</w:t>
      </w:r>
      <w:r>
        <w:t xml:space="preserve"> </w:t>
      </w:r>
      <w:r>
        <w:rPr>
          <w:iCs/>
          <w:i/>
        </w:rPr>
        <w:t xml:space="preserve">Exploring the gender differences in technology use for educational purposes at home among students in Pakistan</w:t>
      </w:r>
      <w:r>
        <w:t xml:space="preserve">. EdTech Hub. https://doi.org/10.53832/edtechhub.1099</w:t>
      </w:r>
    </w:p>
    <w:p>
      <w:pPr>
        <w:pStyle w:val="BodyText"/>
      </w:pPr>
      <w:r>
        <w:t xml:space="preserve">Shan, Z., &amp; Xu, H. (2024). Students’ conceptions and experiences of institutionalised curriculum for multilingual learning: The case of a dual-foreign-languages programme.</w:t>
      </w:r>
      <w:r>
        <w:t xml:space="preserve"> </w:t>
      </w:r>
      <w:r>
        <w:rPr>
          <w:iCs/>
          <w:i/>
        </w:rPr>
        <w:t xml:space="preserve">Language, Culture and Curriculum, 37</w:t>
      </w:r>
      <w:r>
        <w:t xml:space="preserve">(2), 230-246. https://doi.org/10.1080/07908318.2024.2313984</w:t>
      </w:r>
    </w:p>
    <w:p>
      <w:pPr>
        <w:pStyle w:val="BodyText"/>
      </w:pPr>
      <w:r>
        <w:t xml:space="preserve">Stockwell, G., &amp; Wang, Y. (2023). Exploring the challenges of technology in language teaching in the aftermath of the pandemic.</w:t>
      </w:r>
      <w:r>
        <w:t xml:space="preserve"> </w:t>
      </w:r>
      <w:r>
        <w:rPr>
          <w:iCs/>
          <w:i/>
        </w:rPr>
        <w:t xml:space="preserve">RELC Journal, 54</w:t>
      </w:r>
      <w:r>
        <w:t xml:space="preserve">(2), 474-482. https://doi.org/10.1177/00336882231168438</w:t>
      </w:r>
    </w:p>
    <w:p>
      <w:pPr>
        <w:pStyle w:val="BodyText"/>
      </w:pPr>
      <w:r>
        <w:t xml:space="preserve">Tomlinson, B. (Ed.). (2011).</w:t>
      </w:r>
      <w:r>
        <w:t xml:space="preserve"> </w:t>
      </w:r>
      <w:r>
        <w:rPr>
          <w:iCs/>
          <w:i/>
        </w:rPr>
        <w:t xml:space="preserve">Materials development in language teaching</w:t>
      </w:r>
      <w:r>
        <w:t xml:space="preserve"> </w:t>
      </w:r>
      <w:r>
        <w:t xml:space="preserve">(2nd ed.). Cambridge University Press.</w:t>
      </w:r>
    </w:p>
    <w:p>
      <w:pPr>
        <w:pStyle w:val="BodyText"/>
      </w:pPr>
      <w:r>
        <w:t xml:space="preserve">Tu, M. (2026). Time and precarity in</w:t>
      </w:r>
      <w:r>
        <w:t xml:space="preserve"> </w:t>
      </w:r>
      <w:r>
        <w:t xml:space="preserve">‘</w:t>
      </w:r>
      <w:r>
        <w:t xml:space="preserve">South–South</w:t>
      </w:r>
      <w:r>
        <w:t xml:space="preserve">’</w:t>
      </w:r>
      <w:r>
        <w:t xml:space="preserve"> </w:t>
      </w:r>
      <w:r>
        <w:t xml:space="preserve">academic mobility: A 2019–2023 longitudinal study of Pakistani PhD students and recent graduates in China.</w:t>
      </w:r>
      <w:r>
        <w:t xml:space="preserve"> </w:t>
      </w:r>
      <w:r>
        <w:rPr>
          <w:iCs/>
          <w:i/>
        </w:rPr>
        <w:t xml:space="preserve">Population, Space and Place, 32</w:t>
      </w:r>
      <w:r>
        <w:t xml:space="preserve">(2), Article e70227. https://doi.org/10.1002/psp.70227</w:t>
      </w:r>
    </w:p>
    <w:p>
      <w:pPr>
        <w:pStyle w:val="BodyText"/>
      </w:pPr>
      <w:r>
        <w:t xml:space="preserve">van Dijk, J. (2020).</w:t>
      </w:r>
      <w:r>
        <w:t xml:space="preserve"> </w:t>
      </w:r>
      <w:r>
        <w:rPr>
          <w:iCs/>
          <w:i/>
        </w:rPr>
        <w:t xml:space="preserve">The digital divide</w:t>
      </w:r>
      <w:r>
        <w:t xml:space="preserve">. Polity.</w:t>
      </w:r>
    </w:p>
    <w:p>
      <w:pPr>
        <w:pStyle w:val="BodyText"/>
      </w:pPr>
      <w:r>
        <w:t xml:space="preserve">van Lier, L. (2004).</w:t>
      </w:r>
      <w:r>
        <w:t xml:space="preserve"> </w:t>
      </w:r>
      <w:r>
        <w:rPr>
          <w:iCs/>
          <w:i/>
        </w:rPr>
        <w:t xml:space="preserve">The ecology and semiotics of language learning: A sociocultural perspective</w:t>
      </w:r>
      <w:r>
        <w:t xml:space="preserve">. Kluwer.</w:t>
      </w:r>
    </w:p>
    <w:p>
      <w:pPr>
        <w:pStyle w:val="BodyText"/>
      </w:pPr>
      <w:r>
        <w:t xml:space="preserve">Warschauer, M. (2003).</w:t>
      </w:r>
      <w:r>
        <w:t xml:space="preserve"> </w:t>
      </w:r>
      <w:r>
        <w:rPr>
          <w:iCs/>
          <w:i/>
        </w:rPr>
        <w:t xml:space="preserve">Technology and social inclusion: Rethinking the digital divide</w:t>
      </w:r>
      <w:r>
        <w:t xml:space="preserve">. MIT Press.</w:t>
      </w:r>
    </w:p>
    <w:p>
      <w:pPr>
        <w:pStyle w:val="BodyText"/>
      </w:pPr>
      <w:r>
        <w:t xml:space="preserve">Xia, Y., Hu, Y., Wu, C., Yang, L., &amp; Lei, M. (2022). Challenges of online learning amid the COVID-19: College students’ perspective.</w:t>
      </w:r>
      <w:r>
        <w:t xml:space="preserve"> </w:t>
      </w:r>
      <w:r>
        <w:rPr>
          <w:iCs/>
          <w:i/>
        </w:rPr>
        <w:t xml:space="preserve">Frontiers in Psychology, 13</w:t>
      </w:r>
      <w:r>
        <w:t xml:space="preserve">, 1037311. https://doi.org/10.3389/fpsyg.2022.1037311</w:t>
      </w:r>
    </w:p>
    <w:p>
      <w:pPr>
        <w:pStyle w:val="BodyText"/>
      </w:pPr>
      <w:r>
        <w:t xml:space="preserve">Zhang, W., Wang, Y., Yang, L., &amp; Wang, C. (2020). Suspending classes without stopping learning: China’s education emergency management policy in the COVID-19 outbreak.</w:t>
      </w:r>
      <w:r>
        <w:t xml:space="preserve"> </w:t>
      </w:r>
      <w:r>
        <w:rPr>
          <w:iCs/>
          <w:i/>
        </w:rPr>
        <w:t xml:space="preserve">Journal of Risk and Financial Management, 13</w:t>
      </w:r>
      <w:r>
        <w:t xml:space="preserve">(3), 55. https://doi.org/10.3390/jrfm13030055</w:t>
      </w:r>
    </w:p>
    <w:p>
      <w:pPr>
        <w:pStyle w:val="BodyText"/>
      </w:pPr>
      <w:r>
        <w:t xml:space="preserve">Zhao, H., &amp; Huang, J. (2010). China’s policy of Chinese as a foreign language and the use of overseas Confucius Institutes.</w:t>
      </w:r>
      <w:r>
        <w:t xml:space="preserve"> </w:t>
      </w:r>
      <w:r>
        <w:rPr>
          <w:iCs/>
          <w:i/>
        </w:rPr>
        <w:t xml:space="preserve">Educational Research for Policy and Practice, 9</w:t>
      </w:r>
      <w:r>
        <w:t xml:space="preserve">, 127-142. https://doi.org/10.1007/s10671-009-9078-1</w:t>
      </w:r>
    </w:p>
    <w:p>
      <w:pPr>
        <w:pStyle w:val="BodyText"/>
      </w:pPr>
      <w:r>
        <w:t xml:space="preserve">Zhao, K. (2020). Localising Chinese language curriculum construction: A case study in an Australian primary school.</w:t>
      </w:r>
      <w:r>
        <w:t xml:space="preserve"> </w:t>
      </w:r>
      <w:r>
        <w:rPr>
          <w:iCs/>
          <w:i/>
        </w:rPr>
        <w:t xml:space="preserve">Global Chinese, 6</w:t>
      </w:r>
      <w:r>
        <w:t xml:space="preserve">(2), 263-288. https://doi.org/10.1515/glochi-2020-0014</w:t>
      </w:r>
    </w:p>
    <w:bookmarkEnd w:id="44"/>
    <w:bookmarkEnd w:id="45"/>
    <w:sectPr w:rsidR="00FC693F" w:rsidRPr="0006063C"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0" w:line="480" w:lineRule="auto"/>
    </w:pPr>
    <w:rPr>
      <w:rFonts w:ascii="Times New Roman" w:hAnsi="Times New Roman"/>
      <w:color w:val="00000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Times New Roman" w:asciiTheme="majorHAnsi" w:cstheme="majorBidi" w:eastAsiaTheme="majorEastAsia" w:hAnsi="Times New Roman" w:hAnsiTheme="majorHAnsi"/>
      <w:b/>
      <w:bCs/>
      <w:color w:val="000000"/>
      <w:sz w:val="28"/>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Times New Roman" w:asciiTheme="majorHAnsi" w:cstheme="majorBidi" w:eastAsiaTheme="majorEastAsia" w:hAnsi="Times New Roman" w:hAnsiTheme="majorHAnsi"/>
      <w:b/>
      <w:bCs/>
      <w:color w:val="000000"/>
      <w:sz w:val="26"/>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Times New Roman" w:asciiTheme="majorHAnsi" w:cstheme="majorBidi" w:eastAsiaTheme="majorEastAsia" w:hAnsi="Times New Roman" w:hAnsiTheme="majorHAnsi"/>
      <w:b/>
      <w:bCs/>
      <w:color w:val="00000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imes New Roman" w:asciiTheme="majorHAnsi" w:cstheme="majorBidi" w:eastAsiaTheme="majorEastAsia" w:hAnsi="Times New Roman" w:hAnsiTheme="majorHAnsi"/>
      <w:color w:val="000000"/>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2026-08-23T06:41:43Z</dcterms:created>
  <dcterms:modified xsi:type="dcterms:W3CDTF">2026-08-23T06:41:43Z</dcterms:modified>
</cp:coreProperties>
</file>

<file path=docProps/custom.xml><?xml version="1.0" encoding="utf-8"?>
<Properties xmlns="http://schemas.openxmlformats.org/officeDocument/2006/custom-properties" xmlns:vt="http://schemas.openxmlformats.org/officeDocument/2006/docPropsVTypes"/>
</file>