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[Journal Editor’s name]</w:t>
      </w:r>
      <w:r>
        <w:br/>
      </w:r>
      <w:r>
        <w:t xml:space="preserve">Editor-in-Chief</w:t>
      </w:r>
      <w:r>
        <w:br/>
      </w:r>
      <w:r>
        <w:rPr>
          <w:iCs/>
          <w:i/>
        </w:rPr>
        <w:t xml:space="preserve">Language, Culture and Curriculum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Pakistani Chinese-university students studying remotely: household infrastructure and platform access during emergency remote teaching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Language, Culture and Curriculum</w:t>
      </w:r>
      <w:r>
        <w:t xml:space="preserve">.</w:t>
      </w:r>
    </w:p>
    <w:p>
      <w:pPr>
        <w:pStyle w:val="BodyText"/>
      </w:pPr>
      <w:r>
        <w:t xml:space="preserve">The article is an exploratory questionnaire study (N = 38; February 2022). It proposes a bounded ICLE concept, localisation of delivery (institutional adaptation of time, platform, task, participation mode, and assessment). The sample is mainly Pakistani by nationality; it is not a sample exclusively located in Pakistan. Emergency remote teaching is the historical setting. The paper does not claim evidence about current hybrid practice.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2026-08-23T06:41:43Z</dcterms:created>
  <dcterms:modified xsi:type="dcterms:W3CDTF">2026-08-23T06:41:43Z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