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58d4d32bf2fa0d1f45db090e0f004cc128afcf3"/>
    <w:p>
      <w:pPr>
        <w:pStyle w:val="Heading1"/>
      </w:pPr>
      <w:r>
        <w:t xml:space="preserve">Pakistani Chinese-university students studying remotely: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article reports an exploratory questionnaire study of how Chinese-university language courses were experienced when live classes were relocated off campus during COVID-19 emergency remote teaching. The contribution to international Chinese language education is a bounded concept,</w:t>
      </w:r>
      <w:r>
        <w:t xml:space="preserve"> </w:t>
      </w:r>
      <w:r>
        <w:rPr>
          <w:iCs/>
          <w:i/>
        </w:rPr>
        <w:t xml:space="preserve">localisation of delivery</w:t>
      </w:r>
      <w:r>
        <w:t xml:space="preserve">: institutional adaptation of time, platform, task, participation mode, and assessment to the receiving context. Thirty-eight adult respondents completed a Chinese-medium Wenjuan form between 5 and 8 February 2022. Thirty-seven selected Pakistani nationality and one selected Bangladesh. The sample is therefore mainly Pakistani by nationality. It is not a sample exclusively located in Pakistan, and IP metadata are not treated as a location measure. Unstable networks (76.3%) and power interruptions (42.1%) were commonly ticked; 36.8% reported very high stress. Eleven of 14 respondents who said the home affected study</w:t>
      </w:r>
      <w:r>
        <w:t xml:space="preserve"> </w:t>
      </w:r>
      <w:r>
        <w:t xml:space="preserve">“</w:t>
      </w:r>
      <w:r>
        <w:t xml:space="preserve">very much</w:t>
      </w:r>
      <w:r>
        <w:t xml:space="preserve">”</w:t>
      </w:r>
      <w:r>
        <w:t xml:space="preserve"> </w:t>
      </w:r>
      <w:r>
        <w:t xml:space="preserve">also reported very high stress, compared with 3 of 24 others (Fisher’s exact</w:t>
      </w:r>
      <w:r>
        <w:t xml:space="preserve"> </w:t>
      </w:r>
      <w:r>
        <w:rPr>
          <w:iCs/>
          <w:i/>
        </w:rPr>
        <w:t xml:space="preserve">p</w:t>
      </w:r>
      <w:r>
        <w:t xml:space="preserve"> </w:t>
      </w:r>
      <w:r>
        <w:t xml:space="preserve">= .00008). Worse reported internet speed was associated with a worse three-item perceived online-learning appraisal index (Spearman ρ = .65, bootstrap 95% CI [.36, .84]). QQ and Chaoxing were often marked unusable</w:t>
      </w:r>
      <w:r>
        <w:t xml:space="preserve"> </w:t>
      </w:r>
      <w:r>
        <w:t xml:space="preserve">“</w:t>
      </w:r>
      <w:r>
        <w:t xml:space="preserve">in my country</w:t>
      </w:r>
      <w:r>
        <w:t xml:space="preserve">”</w:t>
      </w:r>
      <w:r>
        <w:t xml:space="preserve">; Zoom and WhatsApp were more often marked available. The study is a historically situated emergency-remote-teaching case. It does not provide evidence about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treated localisation mainly as a problem of content and materials: local examples, annotation, and cultural comparison so that a travelling syllabus becomes learnable in a place (Zhao, 2020; Lu et al., 2024). This article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Those terms describe conditions that students face. Localisation of delivery names a design task for the institution that sends the course.</w:t>
      </w:r>
    </w:p>
    <w:p>
      <w:pPr>
        <w:pStyle w:val="BodyText"/>
      </w:pPr>
      <w:r>
        <w:t xml:space="preserve">Emergency remote teaching (Hodges et al., 2020) is the historical setting in which that task became visible, not the theoretical centre of the article. When Chinese universities moved instruction online in 2020, many students of Pakistani nationality remained enrolled in Chinese-university language courses while sitting outside the campus infrastructure.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Typical Chinese-university language courses assume a live oral hour and a login on tools used in Chinese higher education. The questionnaire did not name host universities or required platforms. Those campus assumptions are therefore a contextual reading of ICLE emergency practice, not a measured programme description.</w:t>
      </w:r>
    </w:p>
    <w:p>
      <w:pPr>
        <w:pStyle w:val="BodyText"/>
      </w:pPr>
      <w:r>
        <w:t xml:space="preserve">Pakistani enrolment in Chinese universities is a documented case of South–South academic mobility, structured by scholarships and the China–Pakistan Economic Corridor rather than by the more familiar</w:t>
      </w:r>
      <w:r>
        <w:t xml:space="preserve"> </w:t>
      </w:r>
      <w:r>
        <w:t xml:space="preserve">“</w:t>
      </w:r>
      <w:r>
        <w:t xml:space="preserve">international student already on a Chinese campus</w:t>
      </w:r>
      <w:r>
        <w:t xml:space="preserve">”</w:t>
      </w:r>
      <w:r>
        <w:t xml:space="preserve"> </w:t>
      </w:r>
      <w:r>
        <w:t xml:space="preserve">story (Iftikhar et al., 2024; Tu, 2026; Gao &amp; Hua, 2021). This study does not treat the 38 respondents as a census of that mobility. It asks how, in one network-recruited emergency-period file,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file.</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The present file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article that setting is described as a</w:t>
      </w:r>
      <w:r>
        <w:t xml:space="preserve"> </w:t>
      </w:r>
      <w:r>
        <w:rPr>
          <w:iCs/>
          <w:i/>
        </w:rPr>
        <w:t xml:space="preserve">home learning ecology</w:t>
      </w:r>
      <w:r>
        <w:t xml:space="preserve">: domestic space, paid or care work, and the conditions of oral participation. Electricity interruptions, blocked applications,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article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were enrolled in Chinese universities and answered a form about online Chinese classes. They were not a Confucius Institute classroom sample.</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file is a convenience sample. The form did not record how the link was distributed (for example WeChat, WhatsApp, email, or student groups). The research team therefore cannot name the recruitment channel. Eligibility was implicit: adult respondents who completed the Chinese-medium form about online Chinese learning. The form did not ask host university, city of residence that week, degree versus non-degree status, or scholarship type. Two items asked whether required courses and electives were online (71.1% and 60.5% ticked those options). Those ticks do not identify a named programme.</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w:t>
      </w:r>
    </w:p>
    <w:p>
      <w:pPr>
        <w:pStyle w:val="BodyText"/>
      </w:pPr>
      <w:r>
        <w:t xml:space="preserve">The sample is described as</w:t>
      </w:r>
      <w:r>
        <w:t xml:space="preserve"> </w:t>
      </w:r>
      <w:r>
        <w:rPr>
          <w:iCs/>
          <w:i/>
        </w:rPr>
        <w:t xml:space="preserve">mainly Pakistani Chinese-university language students studying remotely in February 2022</w:t>
      </w:r>
      <w:r>
        <w:t xml:space="preserve">. It is not described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bootstrap 95% confidence interval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Bangladeshi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and exact timestamps beyond the collection dates were removed before analysis. The de-identified file does not include those fields.</w:t>
      </w:r>
    </w:p>
    <w:p>
      <w:pPr>
        <w:pStyle w:val="BodyText"/>
      </w:pPr>
      <w:r>
        <w:t xml:space="preserve">No institutional ethics-committee number is available for the original 2022 collection. The first author was then an M.Phil. student; numbered approval was not obtained. The present article is an anonymised secondary analysis of that file. Authors should seek retrospective institutional confirmation or a waiver from their current ethics office before ScholarOne upload if the journal requires a protocol number. No approval number has been invented.</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(Fisher’s exact</w:t>
      </w:r>
      <w:r>
        <w:t xml:space="preserve"> </w:t>
      </w:r>
      <w:r>
        <w:rPr>
          <w:iCs/>
          <w:i/>
        </w:rPr>
        <w:t xml:space="preserve">p</w:t>
      </w:r>
      <w:r>
        <w:t xml:space="preserve"> </w:t>
      </w:r>
      <w:r>
        <w:t xml:space="preserve">= .00008). This is a co-occurrence in this file.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 .000009, bootstrap 95% CI [.36, .84]). A count of three infrastructure ticks (unstable network, power interruptions, no signal) was not associated with the index (ρ = .02,</w:t>
      </w:r>
      <w:r>
        <w:t xml:space="preserve"> </w:t>
      </w:r>
      <w:r>
        <w:rPr>
          <w:iCs/>
          <w:i/>
        </w:rPr>
        <w:t xml:space="preserve">p</w:t>
      </w:r>
      <w:r>
        <w:t xml:space="preserve"> </w:t>
      </w:r>
      <w:r>
        <w:t xml:space="preserve">= .91, bootstrap 95% CI [−.32, .37]). In this file, reported speed co-occurred with appraisal; ticking several problems did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bootstrap 95% CI [.36, .84],</w:t>
            </w:r>
            <w:r>
              <w:t xml:space="preserve"> </w:t>
            </w:r>
            <w:r>
              <w:rPr>
                <w:iCs/>
                <w:i/>
              </w:rPr>
              <w:t xml:space="preserve">p</w:t>
            </w:r>
            <w:r>
              <w:t xml:space="preserve"> </w:t>
            </w:r>
            <w:r>
              <w:t xml:space="preserve">= .000009</w:t>
            </w:r>
          </w:p>
        </w:tc>
      </w:tr>
      <w:tr>
        <w:tc>
          <w:tcPr/>
          <w:p>
            <w:pPr>
              <w:pStyle w:val="Compact"/>
              <w:jc w:val="left"/>
            </w:pPr>
            <w:r>
              <w:t xml:space="preserve">Infrastructure-problem count × appraisal index</w:t>
            </w:r>
          </w:p>
        </w:tc>
        <w:tc>
          <w:tcPr/>
          <w:p>
            <w:pPr>
              <w:pStyle w:val="Compact"/>
              <w:jc w:val="left"/>
            </w:pPr>
            <w:r>
              <w:t xml:space="preserve">ρ = .02,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w:t>
      </w:r>
    </w:p>
    <w:p>
      <w:pPr>
        <w:pStyle w:val="BodyText"/>
      </w:pPr>
      <w:r>
        <w:t xml:space="preserve">Among Pakistani-nationality respondents only (n = 37), the home–stress table remained 11/14 versus 3/23 (Fisher’s exact</w:t>
      </w:r>
      <w:r>
        <w:t xml:space="preserve"> </w:t>
      </w:r>
      <w:r>
        <w:rPr>
          <w:iCs/>
          <w:i/>
        </w:rPr>
        <w:t xml:space="preserve">p</w:t>
      </w:r>
      <w:r>
        <w:t xml:space="preserve"> </w:t>
      </w:r>
      <w:r>
        <w:t xml:space="preserve">= .00011) and speed × appraisal was ρ = .67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file suggests a possible delivery-context mismatch: a travelling Chinese-university language course was reported alongside household power and network problems and uneven access to applications often used in Chinese higher education.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considerations—not established solutions—include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file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IP metadata are not a location measure. All outcomes are self-report. The appraisal index is descriptive, not a validated scale.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Chinese-university language students,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file.</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2026-08-23T06:41:43Z</dcterms:created>
  <dcterms:modified xsi:type="dcterms:W3CDTF">2026-08-23T06:41:43Z</dcterms:modified>
</cp:coreProperties>
</file>

<file path=docProps/custom.xml><?xml version="1.0" encoding="utf-8"?>
<Properties xmlns="http://schemas.openxmlformats.org/officeDocument/2006/custom-properties" xmlns:vt="http://schemas.openxmlformats.org/officeDocument/2006/docPropsVTypes"/>
</file>