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[Journal Editor’s name]</w:t>
      </w:r>
      <w:r>
        <w:br/>
      </w:r>
      <w:r>
        <w:t xml:space="preserve">Editor-in-Chief</w:t>
      </w:r>
      <w:r>
        <w:br/>
      </w:r>
      <w:r>
        <w:rPr>
          <w:iCs/>
          <w:i/>
        </w:rPr>
        <w:t xml:space="preserve">Language, Culture and Curriculum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</w:t>
      </w:r>
      <w:r>
        <w:t xml:space="preserve"> </w:t>
      </w:r>
      <w:r>
        <w:t xml:space="preserve">“</w:t>
      </w:r>
      <w:r>
        <w:t xml:space="preserve">When Chinese class moved home: Pakistani students, infrastructure, and platform access</w:t>
      </w:r>
      <w:r>
        <w:t xml:space="preserve">”</w:t>
      </w:r>
      <w:r>
        <w:t xml:space="preserve"> </w:t>
      </w:r>
      <w:r>
        <w:t xml:space="preserve">for publication in</w:t>
      </w:r>
      <w:r>
        <w:t xml:space="preserve"> </w:t>
      </w:r>
      <w:r>
        <w:rPr>
          <w:iCs/>
          <w:i/>
        </w:rPr>
        <w:t xml:space="preserve">Language, Culture and Curriculum</w:t>
      </w:r>
      <w:r>
        <w:t xml:space="preserve">.</w:t>
      </w:r>
    </w:p>
    <w:p>
      <w:pPr>
        <w:pStyle w:val="BodyText"/>
      </w:pPr>
      <w:r>
        <w:t xml:space="preserve">This is an original questionnaire study (N = 38; Wenjuan export, February 2022). It is not a republication. The corresponding author is Heena Rathore, PhD student, School of Foreign Languages, Sun Yat-sen University. Co-authors: Cao Huimin and Xu Yiru. Nine IP addresses were labelled mainland China; the rest were not. The form did not record scholarship type. Emergency remote Chinese along this Pakistan-China corridor is read as a home and platform-access problem. QQ and Chaoxing were often marked unusable from</w:t>
      </w:r>
      <w:r>
        <w:t xml:space="preserve"> </w:t>
      </w:r>
      <w:r>
        <w:t xml:space="preserve">“</w:t>
      </w:r>
      <w:r>
        <w:t xml:space="preserve">my country</w:t>
      </w:r>
      <w:r>
        <w:t xml:space="preserve">”</w:t>
      </w:r>
      <w:r>
        <w:t xml:space="preserve">; Zoom and WhatsApp were more often marked available (WhatsApp was not coded as used for class). Home conditions were associated with very high stress (OR = 25.67, 95% CI [4.42, 149.00]). Internet speed tracked learning appraisal (ρ = .65); a count of infrastructure problems did not (ρ = .02). Sensitivity checks keep the two focal associations in the same direction (Pakistani-only n = 37; offshore-IP n = 29).</w:t>
      </w:r>
    </w:p>
    <w:p>
      <w:pPr>
        <w:pStyle w:val="BodyText"/>
      </w:pPr>
      <w:r>
        <w:t xml:space="preserve">The manuscript is written for this journal’s aims: additional-language learning outside the classroom, identity and investment (as a reading of participation proxies), and curriculum implementation (the campus course plan used off campus). It supplies a South-South case that the journal’s investment agenda on international students of languages other than English (Hajar &amp; Karakuş, 2024) still lacks.</w:t>
      </w:r>
    </w:p>
    <w:p>
      <w:pPr>
        <w:pStyle w:val="BodyText"/>
      </w:pPr>
      <w:r>
        <w:t xml:space="preserve">The manuscript is not under review elsewhere. Send only after all listed authors have read and approved this version.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Heena Rathore (corresponding author)</w:t>
      </w:r>
      <w:r>
        <w:br/>
      </w:r>
      <w:r>
        <w:t xml:space="preserve">PhD student, School of Foreign Languages, Sun Yat-sen University</w:t>
      </w:r>
      <w:r>
        <w:br/>
      </w:r>
      <w:r>
        <w:t xml:space="preserve">kristine_2020@qq.com</w:t>
      </w:r>
    </w:p>
    <w:p>
      <w:pPr>
        <w:pStyle w:val="BodyText"/>
      </w:pPr>
      <w:r>
        <w:t xml:space="preserve">Cao Huimin</w:t>
      </w:r>
      <w:r>
        <w:br/>
      </w:r>
      <w:r>
        <w:t xml:space="preserve">Institute for International Communication of Chinese Culture, Beijing Foreign Studies University</w:t>
      </w:r>
      <w:r>
        <w:br/>
      </w:r>
      <w:r>
        <w:t xml:space="preserve">[confirm email]</w:t>
      </w:r>
    </w:p>
    <w:p>
      <w:pPr>
        <w:pStyle w:val="BodyText"/>
      </w:pPr>
      <w:r>
        <w:t xml:space="preserve">Xu Yiru</w:t>
      </w:r>
      <w:r>
        <w:br/>
      </w:r>
      <w:r>
        <w:t xml:space="preserve">School of Foreign Languages, Sun Yat-sen University</w:t>
      </w:r>
      <w:r>
        <w:br/>
      </w:r>
      <w:r>
        <w:t xml:space="preserve">xuyiru@mail.sysu.edu.cn</w:t>
      </w:r>
    </w:p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line="480" w:lineRule="auto"/>
    </w:pPr>
    <w:rPr>
      <w:rFonts w:ascii="Times New Roman" w:hAnsi="Times New Roman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Times New Roman" w:asciiTheme="majorHAnsi" w:cstheme="majorBidi" w:eastAsiaTheme="majorEastAsia" w:hAnsi="Times New Roman" w:hAnsiTheme="majorHAnsi"/>
      <w:color w:val="0000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2026-08-23T05:26:03Z</dcterms:created>
  <dcterms:modified xsi:type="dcterms:W3CDTF">2026-08-23T05:26:03Z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