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babd5ba3a8a1be7c6f1a1769151a851a71c6acf"/>
    <w:p>
      <w:pPr>
        <w:pStyle w:val="Heading1"/>
      </w:pPr>
      <w:r>
        <w:t xml:space="preserve">The problem of online Chinese teaching: household infrastructure and platform access among mainly Pakistani respondents during emergency remote teaching</w:t>
      </w:r>
    </w:p>
    <w:p>
      <w:pPr>
        <w:pStyle w:val="FirstParagraph"/>
      </w:pPr>
      <w:r>
        <w:rPr>
          <w:bCs/>
          <w:b/>
        </w:rPr>
        <w:t xml:space="preserve">Short title:</w:t>
      </w:r>
      <w:r>
        <w:t xml:space="preserve"> </w:t>
      </w:r>
      <w:r>
        <w:t xml:space="preserve">Online Chinese teaching: delivery-context fit</w:t>
      </w:r>
    </w:p>
    <w:p>
      <w:pPr>
        <w:pStyle w:val="BodyText"/>
      </w:pPr>
      <w:r>
        <w:t xml:space="preserve">Heena Rathore (corresponding author)</w:t>
      </w:r>
      <w:r>
        <w:br/>
      </w:r>
      <w:r>
        <w:t xml:space="preserve">PhD student, School of Foreign Languages, Sun Yat-sen University, Guangzhou, China</w:t>
      </w:r>
      <w:r>
        <w:br/>
      </w:r>
      <w:r>
        <w:t xml:space="preserve">Email: kristine_2020@qq.com</w:t>
      </w:r>
    </w:p>
    <w:p>
      <w:pPr>
        <w:pStyle w:val="BodyText"/>
      </w:pPr>
      <w:r>
        <w:t xml:space="preserve">Cao Huimin</w:t>
      </w:r>
      <w:r>
        <w:br/>
      </w:r>
      <w:r>
        <w:t xml:space="preserve">Institute for International Communication of Chinese Culture, Beijing Foreign Studies University, Beijing, China</w:t>
      </w:r>
    </w:p>
    <w:p>
      <w:pPr>
        <w:pStyle w:val="BodyText"/>
      </w:pPr>
      <w:r>
        <w:t xml:space="preserve">Xu Yiru (徐翌茹)</w:t>
      </w:r>
      <w:r>
        <w:br/>
      </w:r>
      <w:r>
        <w:t xml:space="preserve">School of Foreign Languages, Sun Yat-sen University, Guangzhou, China</w:t>
      </w:r>
      <w:r>
        <w:br/>
      </w:r>
      <w:r>
        <w:t xml:space="preserve">Email: xuyiru@mail.sysu.edu.cn</w:t>
      </w:r>
    </w:p>
    <w:p>
      <w:pPr>
        <w:pStyle w:val="BodyText"/>
      </w:pPr>
      <w:r>
        <w:rPr>
          <w:bCs/>
          <w:b/>
        </w:rPr>
        <w:t xml:space="preserve">Acknowledgements.</w:t>
      </w:r>
      <w:r>
        <w:t xml:space="preserve"> </w:t>
      </w:r>
      <w:r>
        <w:t xml:space="preserve">Data were collected while the first author was an M.Phil. scholar at the School of International Cultural Exchange, Central China Normal University. We thank the students who took part.</w:t>
      </w:r>
    </w:p>
    <w:p>
      <w:pPr>
        <w:pStyle w:val="BodyText"/>
      </w:pPr>
      <w:r>
        <w:rPr>
          <w:bCs/>
          <w:b/>
        </w:rPr>
        <w:t xml:space="preserve">Disclosure statement.</w:t>
      </w:r>
      <w:r>
        <w:t xml:space="preserve"> </w:t>
      </w:r>
      <w:r>
        <w:t xml:space="preserve">No potential conflict of interest was reported by the authors.</w:t>
      </w:r>
    </w:p>
    <w:p>
      <w:pPr>
        <w:pStyle w:val="BodyText"/>
      </w:pPr>
      <w:r>
        <w:rPr>
          <w:bCs/>
          <w:b/>
        </w:rPr>
        <w:t xml:space="preserve">Funding.</w:t>
      </w:r>
      <w:r>
        <w:t xml:space="preserve"> </w:t>
      </w:r>
      <w:r>
        <w:t xml:space="preserve">None.</w:t>
      </w:r>
    </w:p>
    <w:p>
      <w:pPr>
        <w:pStyle w:val="BodyText"/>
      </w:pPr>
      <w:r>
        <w:rPr>
          <w:bCs/>
          <w:b/>
        </w:rPr>
        <w:t xml:space="preserve">Data availability.</w:t>
      </w:r>
      <w:r>
        <w:t xml:space="preserve"> </w:t>
      </w:r>
      <w:r>
        <w:t xml:space="preserve">A de-identified analytical dataset, codebook, and analysis syntax are available in a public repository. Variables that could increase re-identification risk in this small convenience sample have been removed or coarsened. Files containing names, IP addresses, timestamps, or device identifiers will not be shared.</w:t>
      </w:r>
    </w:p>
    <w:bookmarkStart w:id="20" w:name="abstract"/>
    <w:p>
      <w:pPr>
        <w:pStyle w:val="Heading2"/>
      </w:pPr>
      <w:r>
        <w:t xml:space="preserve">Abstract</w:t>
      </w:r>
    </w:p>
    <w:p>
      <w:pPr>
        <w:pStyle w:val="FirstParagraph"/>
      </w:pPr>
      <w:r>
        <w:t xml:space="preserve">This article investigates a problem in online Chinese teaching: when a Chinese course moves online, learners may not be able to take the class if the timetable, platforms, oral tasks, and assessment do not fit the conditions in which they participate. A Chinese-language questionnaire asked 38 self-selected respondents—37 of whom selected Pakistani nationality—what household, connectivity, and platform-access conditions they faced, and how those conditions sat alongside stress and appraisals of online learning. The responses are read through later work on technological normalisation, online ICLE, and designed online Chinese teaching. The article proposes</w:t>
      </w:r>
      <w:r>
        <w:t xml:space="preserve"> </w:t>
      </w:r>
      <w:r>
        <w:rPr>
          <w:iCs/>
          <w:i/>
        </w:rPr>
        <w:t xml:space="preserve">localisation of delivery</w:t>
      </w:r>
      <w:r>
        <w:t xml:space="preserve"> </w:t>
      </w:r>
      <w:r>
        <w:t xml:space="preserve">and identifies learner-side conditions that such teaching would need to address. Unstable networks (76.3%) and power interruptions (42.1%) were commonly reported, and 36.8% selected</w:t>
      </w:r>
      <w:r>
        <w:t xml:space="preserve"> </w:t>
      </w:r>
      <w:r>
        <w:t xml:space="preserve">“</w:t>
      </w:r>
      <w:r>
        <w:t xml:space="preserve">very high stress.</w:t>
      </w:r>
      <w:r>
        <w:t xml:space="preserve">”</w:t>
      </w:r>
      <w:r>
        <w:t xml:space="preserve"> </w:t>
      </w:r>
      <w:r>
        <w:t xml:space="preserve">Those who said home conditions affected study</w:t>
      </w:r>
      <w:r>
        <w:t xml:space="preserve"> </w:t>
      </w:r>
      <w:r>
        <w:t xml:space="preserve">“</w:t>
      </w:r>
      <w:r>
        <w:t xml:space="preserve">very much</w:t>
      </w:r>
      <w:r>
        <w:t xml:space="preserve">”</w:t>
      </w:r>
      <w:r>
        <w:t xml:space="preserve"> </w:t>
      </w:r>
      <w:r>
        <w:t xml:space="preserve">more often selected that category (11/14 versus 3/24; Fisher’s exact (p = .00008)). Worse reported internet speed was associated with a more negative appraisal of online learning ((</w:t>
      </w:r>
      <w:r>
        <w:t xml:space="preserve">= .65), 95% bootstrap CI ([.36, .84])). QQ and Chaoxing were frequently marked unusable; Zoom and WhatsApp were more often marked available. In this sample, online Chinese teaching was a delivery problem. The results are exploratory and are not read as evidence of current hybrid practice.</w:t>
      </w:r>
    </w:p>
    <w:p>
      <w:pPr>
        <w:pStyle w:val="BodyText"/>
      </w:pPr>
      <w:r>
        <w:rPr>
          <w:bCs/>
          <w:b/>
        </w:rPr>
        <w:t xml:space="preserve">Keywords:</w:t>
      </w:r>
      <w:r>
        <w:t xml:space="preserve"> </w:t>
      </w:r>
      <w:r>
        <w:t xml:space="preserve">online Chinese teaching; localisation of delivery; digital inequality; emergency remote teaching; Pakistan; household infrastructure</w:t>
      </w:r>
    </w:p>
    <w:bookmarkEnd w:id="20"/>
    <w:bookmarkStart w:id="21" w:name="introduction"/>
    <w:p>
      <w:pPr>
        <w:pStyle w:val="Heading2"/>
      </w:pPr>
      <w:r>
        <w:t xml:space="preserve">1. Introduction</w:t>
      </w:r>
    </w:p>
    <w:p>
      <w:pPr>
        <w:pStyle w:val="FirstParagraph"/>
      </w:pPr>
      <w:r>
        <w:t xml:space="preserve">This article investigates a problem in online Chinese teaching. When Chinese is taught online, the course may still look like the original class: the same hours, the same platforms, the same oral tasks, and the same forms of assessment. The research question is whether learners can actually take that class. If household power, network speed, and platform access do not support those arrangements, online Chinese teaching fails as delivery even when the content remains appropriate. That is the problem the present study examines.</w:t>
      </w:r>
    </w:p>
    <w:p>
      <w:pPr>
        <w:pStyle w:val="BodyText"/>
      </w:pPr>
      <w:r>
        <w:t xml:space="preserve">The problem is easy to miss because international Chinese language education has become skilled at localising what a course</w:t>
      </w:r>
      <w:r>
        <w:t xml:space="preserve"> </w:t>
      </w:r>
      <w:r>
        <w:rPr>
          <w:iCs/>
          <w:i/>
        </w:rPr>
        <w:t xml:space="preserve">says</w:t>
      </w:r>
      <w:r>
        <w:t xml:space="preserve">: its examples, cultural content, and materials (Lu et al., 2024; McDonough &amp; Shaw, 2003; Tomlinson, 2011; Zhao, 2020). It has said much less about whether an</w:t>
      </w:r>
      <w:r>
        <w:t xml:space="preserve"> </w:t>
      </w:r>
      <w:r>
        <w:rPr>
          <w:iCs/>
          <w:i/>
        </w:rPr>
        <w:t xml:space="preserve">online</w:t>
      </w:r>
      <w:r>
        <w:t xml:space="preserve"> </w:t>
      </w:r>
      <w:r>
        <w:t xml:space="preserve">Chinese course can still be</w:t>
      </w:r>
      <w:r>
        <w:t xml:space="preserve"> </w:t>
      </w:r>
      <w:r>
        <w:rPr>
          <w:iCs/>
          <w:i/>
        </w:rPr>
        <w:t xml:space="preserve">taken</w:t>
      </w:r>
      <w:r>
        <w:t xml:space="preserve">. Language, culture, and curriculum meet not only in the textbook but in the setting of the class (Guerrettaz et al., 2021; van Lier, 2004). Research in the field has mapped learners and pedagogical practices associated with Chinese-speaking educational settings (Gong et al., 2020b; Ma et al., 2017). Postmethod and localist scholarship already argues that pedagogy should answer to a particular group and place (Canagarajah, 2005; Kumaravadivelu, 2001), and recent articles in this journal treat curriculum as lived practice (Lam, 2024; Shan &amp; Xu, 2024). These approaches remain necessary. They do not, by themselves, tell us whether the institutional arrangements of online Chinese teaching—its time, platforms, tasks, participation mode, and assessment—remain feasible where learners participate.</w:t>
      </w:r>
    </w:p>
    <w:p>
      <w:pPr>
        <w:pStyle w:val="BodyText"/>
      </w:pPr>
      <w:r>
        <w:t xml:space="preserve">This article addresses that problem in online Chinese teaching. It proposes</w:t>
      </w:r>
      <w:r>
        <w:t xml:space="preserve"> </w:t>
      </w:r>
      <w:r>
        <w:rPr>
          <w:iCs/>
          <w:i/>
        </w:rPr>
        <w:t xml:space="preserve">localisation of delivery</w:t>
      </w:r>
      <w:r>
        <w:t xml:space="preserve"> </w:t>
      </w:r>
      <w:r>
        <w:t xml:space="preserve">as the name for the missing work: the institutional adaptation of time, platform, task, participation mode, and assessment to the receiving context. The idea is close to, but narrower than, accessibility and digital inclusion (Warschauer, 2003). The claim it seeks to make good is straightforward. An online Chinese course may be locally relevant in content but inaccessible in delivery. The questionnaire cannot show how institutions adapted. What it can do, and what it is used for here, is to answer a prior empirical question: what learner-side conditions would online Chinese teaching have to take seriously?</w:t>
      </w:r>
    </w:p>
    <w:p>
      <w:pPr>
        <w:pStyle w:val="BodyText"/>
      </w:pPr>
      <w:r>
        <w:t xml:space="preserve">Emergency remote teaching during COVID-19 is when this problem became urgent; it is not the theoretical centre of the argument (Hodges et al., 2020). When language programmes were shifted to videoconferencing, researchers documented thinner interaction, technical disruption, and the sudden visibility of domestic life during lessons (Gacs et al., 2020; MacIntyre et al., 2020; Moser et al., 2021; Tao &amp; Gao, 2022). Drawing on that literature (Gacs et al., 2020), this article uses</w:t>
      </w:r>
      <w:r>
        <w:t xml:space="preserve"> </w:t>
      </w:r>
      <w:r>
        <w:rPr>
          <w:iCs/>
          <w:i/>
        </w:rPr>
        <w:t xml:space="preserve">travelling course</w:t>
      </w:r>
      <w:r>
        <w:t xml:space="preserve"> </w:t>
      </w:r>
      <w:r>
        <w:t xml:space="preserve">for a course designed in one institutional setting and taught in another. Studies of Chinese-language emergency teaching said more about pedagogical adaptation on the sending side—for example, technology-based character instruction (Xu et al., 2022)—than about whether online Chinese teaching remained feasible for learners under different household and technological conditions.</w:t>
      </w:r>
    </w:p>
    <w:p>
      <w:pPr>
        <w:pStyle w:val="BodyText"/>
      </w:pPr>
      <w:r>
        <w:t xml:space="preserve">The questionnaire is read through later lenses, not as a pandemic story for its own sake. After the return to campus, research on technological normalisation asked what should remain of emergency online practice (Moorhouse, 2023; Moorhouse, Wong, &amp; Li, 2023) and warned against treating a videoconference copy of the classroom as the main lesson of the crisis (Stockwell &amp; Wang, 2023). Reviews of online ICLE still list technical problems, weak interaction, and time-zone difficulty (Li &amp; Li, 2024). Designed online Chinese-culture courses show what planned online teaching can look like (Guenier et al., 2026), and this journal has already treated learner emotion in Chinese as an additional language (Wen &amp; Liu, 2025). Those studies do not describe the present respondents. They supply the conceptual lenses through which the problem of online Chinese teaching is now examined: delivery-context fit is a curriculum question, not only an emergency inconvenience.</w:t>
      </w:r>
    </w:p>
    <w:p>
      <w:pPr>
        <w:pStyle w:val="BodyText"/>
      </w:pPr>
      <w:r>
        <w:t xml:space="preserve">The analysis draws on a convenience sample of 38 self-selected respondents to a Chinese-language questionnaire about online Chinese learning, completed during emergency remote teaching. Thirty-seven respondents selected Pakistani nationality, while one selected another nationality. Nationality is the only Pakistan connection established in the dataset; residence, recruitment pathway, institutional affiliation, programme status, and physical location were not verified. Literature on Pakistani educational mobility and university e-learning during COVID-19 is therefore used only as contextual background for the nationality reported by most respondents (Jamil &amp; Muschert, 2023; Tu, 2026). Twenty-seven respondents (71.1%) reported taking required courses online, while 23 (60.5%) reported taking elective courses online. The findings from this self-selected group are treated as exploratory rather than representative. Much of the research on international students of Chinese has examined learners already on a Chinese campus (Gao &amp; Hua, 2021; Gong et al., 2020a); this sample cannot be read as that population.</w:t>
      </w:r>
    </w:p>
    <w:p>
      <w:pPr>
        <w:pStyle w:val="BodyText"/>
      </w:pPr>
      <w:r>
        <w:t xml:space="preserve">What the article answers, then, is not whether institutions solved the problem of online Chinese teaching, and not whether later hybrid practice has solved it. It answers three questions about this sample of online Chinese learning:</w:t>
      </w:r>
    </w:p>
    <w:p>
      <w:pPr>
        <w:numPr>
          <w:ilvl w:val="0"/>
          <w:numId w:val="1001"/>
        </w:numPr>
        <w:pStyle w:val="Compact"/>
      </w:pPr>
      <w:r>
        <w:t xml:space="preserve">What household, connectivity, and platform-access conditions did respondents report?</w:t>
      </w:r>
    </w:p>
    <w:p>
      <w:pPr>
        <w:numPr>
          <w:ilvl w:val="0"/>
          <w:numId w:val="1001"/>
        </w:numPr>
        <w:pStyle w:val="Compact"/>
      </w:pPr>
      <w:r>
        <w:t xml:space="preserve">In this sample, how were reported household and connectivity conditions associated with selecting</w:t>
      </w:r>
      <w:r>
        <w:t xml:space="preserve"> </w:t>
      </w:r>
      <w:r>
        <w:t xml:space="preserve">“</w:t>
      </w:r>
      <w:r>
        <w:t xml:space="preserve">very high stress</w:t>
      </w:r>
      <w:r>
        <w:t xml:space="preserve">”</w:t>
      </w:r>
      <w:r>
        <w:t xml:space="preserve"> </w:t>
      </w:r>
      <w:r>
        <w:t xml:space="preserve">and with respondents’ appraisals of online learning?</w:t>
      </w:r>
    </w:p>
    <w:p>
      <w:pPr>
        <w:numPr>
          <w:ilvl w:val="0"/>
          <w:numId w:val="1001"/>
        </w:numPr>
        <w:pStyle w:val="Compact"/>
      </w:pPr>
      <w:r>
        <w:t xml:space="preserve">How did respondents judge whether online Chinese-language courses could replace campus-based classes?</w:t>
      </w:r>
    </w:p>
    <w:p>
      <w:pPr>
        <w:pStyle w:val="FirstParagraph"/>
      </w:pPr>
      <w:r>
        <w:t xml:space="preserve">Those answers are used to show that the problem of online Chinese teaching is, in this sample, a delivery problem: content and materials work cannot settle it on their own. Counts are used descriptively. Associations are explored with Fisher’s exact tests and Spearman rank correlations and are not read as confirmatory tests of population-level relationships. Section 2 locates the study in later work on online language teaching and online ICLE, in digital inequality and home learning ecologies, and in the proposed account of localisation of delivery. Section 3 reports when and how the questionnaire was completed. Sections 4 and 5 report and discuss the findings, and the final sections set out implications, limitations, and the article’s answer.</w:t>
      </w:r>
    </w:p>
    <w:bookmarkEnd w:id="21"/>
    <w:bookmarkStart w:id="26" w:name="Xa71efe292272ba0d775f88aaa92c3e49c1e1383"/>
    <w:p>
      <w:pPr>
        <w:pStyle w:val="Heading2"/>
      </w:pPr>
      <w:r>
        <w:t xml:space="preserve">2. Literature review and conceptual framework</w:t>
      </w:r>
    </w:p>
    <w:bookmarkStart w:id="22" w:name="later-lenses-on-online-chinese-teaching"/>
    <w:p>
      <w:pPr>
        <w:pStyle w:val="Heading3"/>
      </w:pPr>
      <w:r>
        <w:t xml:space="preserve">2.1 Later lenses on online Chinese teaching</w:t>
      </w:r>
    </w:p>
    <w:p>
      <w:pPr>
        <w:pStyle w:val="FirstParagraph"/>
      </w:pPr>
      <w:r>
        <w:t xml:space="preserve">Hodges et al. (2020) drew a useful line between emergency remote teaching and planned online or blended provision. Gacs, Goertler and Spasova (2020) brought that distinction into language education. Surveys of language teachers from the same period describe heavier workloads, stress, and uneven preparedness once teaching moved online (MacIntyre et al., 2020; Moser et al., 2021), and Tao and Gao (2022) read the wider literature as a story of technical disruption, thinner engagement, and the need for language-specific support. That work locates the moment in which the present questionnaire was completed. It is not used as a substitute for the stress reports in this sample, and it is not the lens through which the problem is now read.</w:t>
      </w:r>
    </w:p>
    <w:p>
      <w:pPr>
        <w:pStyle w:val="BodyText"/>
      </w:pPr>
      <w:r>
        <w:t xml:space="preserve">The later literature is. After the return to campus, studies of technological normalisation asked what should remain of emergency online practice (Moorhouse, 2023; Moorhouse, Wong, &amp; Li, 2023) and cautioned against treating a videoconference copy of the classroom as the main lesson of the crisis (Stockwell &amp; Wang, 2023). For Chinese, contemporaneous accounts recorded the policy of</w:t>
      </w:r>
      <w:r>
        <w:t xml:space="preserve"> </w:t>
      </w:r>
      <w:r>
        <w:t xml:space="preserve">“</w:t>
      </w:r>
      <w:r>
        <w:t xml:space="preserve">suspending classes without stopping learning</w:t>
      </w:r>
      <w:r>
        <w:t xml:space="preserve">”</w:t>
      </w:r>
      <w:r>
        <w:t xml:space="preserve"> </w:t>
      </w:r>
      <w:r>
        <w:t xml:space="preserve">and early platform trials (Xia et al., 2022; Zhang et al., 2020). Xu et al. (2022) show how character teaching was adapted on the sending side. What makes those findings still usable is the later ICLE writing: reviews of online teaching models continue to list technical problems, weak interaction, and time-zone difficulty (Li &amp; Li, 2024); designed online Chinese-culture courses show a planned alternative to emergency copying (Guenier et al., 2026); and learner emotion in Chinese as an additional language is already a topic in this journal (Wen &amp; Liu, 2025). Much of that writing still assumes a relatively stable connection. The present questionnaire cannot test whether that assumption holds for current hybrid ICLE. It can show, under the later lens of delivery-context fit, what 38 respondents reported when online Chinese teaching asked them to join a travelling course.</w:t>
      </w:r>
    </w:p>
    <w:bookmarkEnd w:id="22"/>
    <w:bookmarkStart w:id="23" w:name="X8fd0326383b50249221392c76a6b8ab8b037526"/>
    <w:p>
      <w:pPr>
        <w:pStyle w:val="Heading3"/>
      </w:pPr>
      <w:r>
        <w:t xml:space="preserve">2.2 Digital inequality and the home learning ecology</w:t>
      </w:r>
    </w:p>
    <w:p>
      <w:pPr>
        <w:pStyle w:val="FirstParagraph"/>
      </w:pPr>
      <w:r>
        <w:t xml:space="preserve">Later models of the digital divide distinguish motivational, material, skills, usage, and outcome access (Helsper, 2021; van Dijk, 2020; Warschauer, 2003). Owning a device is not the same as being able to take part (Ali, 2020). Interview research on Pakistani university e-learning during COVID-19 found uneven first-level access (internet and devices) and second-level skills, with rural and less-resourced students more exposed (Jamil &amp; Muschert, 2023). Household use of educational technology is also shaped by device sharing, care work, and electricity (Raza &amp; Hennessy, 2025). The latter source is a grey-literature report, and neither study is treated as evidence about the 38 respondents here; both are cited only as background for the nationality most of them reported.</w:t>
      </w:r>
    </w:p>
    <w:p>
      <w:pPr>
        <w:pStyle w:val="BodyText"/>
      </w:pPr>
      <w:r>
        <w:t xml:space="preserve">An ecological view of language education takes the setting of the class, not only the student and the application, as the unit of analysis (Guerrettaz et al., 2021; van Lier, 2004). The conditions reported in this questionnaire—domestic space, paid or care work, and the circumstances of speaking in class—are therefore read as elements of respondents’ immediate learning ecologies. Power interruptions, applications marked unusable, and weak bandwidth are material and infrastructural facts, not cultural traits.</w:t>
      </w:r>
    </w:p>
    <w:bookmarkEnd w:id="23"/>
    <w:bookmarkStart w:id="24" w:name="localisation-of-delivery"/>
    <w:p>
      <w:pPr>
        <w:pStyle w:val="Heading3"/>
      </w:pPr>
      <w:r>
        <w:t xml:space="preserve">2.3 Localisation of delivery</w:t>
      </w:r>
    </w:p>
    <w:p>
      <w:pPr>
        <w:pStyle w:val="FirstParagraph"/>
      </w:pPr>
      <w:r>
        <w:t xml:space="preserve">In materials work, localisation has usually meant personalising content so that it speaks to a particular group (McDonough &amp; Shaw, 2003; Tomlinson, 2011). Canagarajah (2005) and Kumaravadivelu (2001) locate pedagogy in a specific group and place. The promotion of Chinese has long been organised through institutes, textbooks, and tests (Zhao &amp; Huang, 2010), and ICLE research has applied localisation mainly to curriculum construction and textbook adaptation (Lu et al., 2024; Zhao, 2020). Lam (2024) shows how literacy practices are reshaped in a local university classroom. Guerrettaz et al. (2021) push materials off the page and into use. If that move is taken seriously, localisation also has to ask whether learners can reach and take part in the class as it is delivered.</w:t>
      </w:r>
    </w:p>
    <w:p>
      <w:pPr>
        <w:pStyle w:val="BodyText"/>
      </w:pPr>
      <w:r>
        <w:t xml:space="preserve">It is helpful to keep four layers distinct:</w:t>
      </w:r>
    </w:p>
    <w:p>
      <w:pPr>
        <w:numPr>
          <w:ilvl w:val="0"/>
          <w:numId w:val="1002"/>
        </w:numPr>
        <w:pStyle w:val="Compact"/>
      </w:pPr>
      <w:r>
        <w:t xml:space="preserve">Localisation of</w:t>
      </w:r>
      <w:r>
        <w:t xml:space="preserve"> </w:t>
      </w:r>
      <w:r>
        <w:rPr>
          <w:iCs/>
          <w:i/>
        </w:rPr>
        <w:t xml:space="preserve">content</w:t>
      </w:r>
      <w:r>
        <w:t xml:space="preserve">: examples, festivals, and cultural comparison.</w:t>
      </w:r>
    </w:p>
    <w:p>
      <w:pPr>
        <w:numPr>
          <w:ilvl w:val="0"/>
          <w:numId w:val="1002"/>
        </w:numPr>
        <w:pStyle w:val="Compact"/>
      </w:pPr>
      <w:r>
        <w:t xml:space="preserve">Localisation of</w:t>
      </w:r>
      <w:r>
        <w:t xml:space="preserve"> </w:t>
      </w:r>
      <w:r>
        <w:rPr>
          <w:iCs/>
          <w:i/>
        </w:rPr>
        <w:t xml:space="preserve">materials</w:t>
      </w:r>
      <w:r>
        <w:t xml:space="preserve">: annotation, mediation language, and page redesign.</w:t>
      </w:r>
    </w:p>
    <w:p>
      <w:pPr>
        <w:numPr>
          <w:ilvl w:val="0"/>
          <w:numId w:val="1002"/>
        </w:numPr>
        <w:pStyle w:val="Compact"/>
      </w:pPr>
      <w:r>
        <w:t xml:space="preserve">Localisation of</w:t>
      </w:r>
      <w:r>
        <w:t xml:space="preserve"> </w:t>
      </w:r>
      <w:r>
        <w:rPr>
          <w:iCs/>
          <w:i/>
        </w:rPr>
        <w:t xml:space="preserve">curriculum</w:t>
      </w:r>
      <w:r>
        <w:t xml:space="preserve">: pathway, hours, and assessment of a named programme (Shan &amp; Xu, 2024; Zhao, 2020).</w:t>
      </w:r>
    </w:p>
    <w:p>
      <w:pPr>
        <w:numPr>
          <w:ilvl w:val="0"/>
          <w:numId w:val="1002"/>
        </w:numPr>
        <w:pStyle w:val="Compact"/>
      </w:pPr>
      <w:r>
        <w:t xml:space="preserve">Localisation of</w:t>
      </w:r>
      <w:r>
        <w:t xml:space="preserve"> </w:t>
      </w:r>
      <w:r>
        <w:rPr>
          <w:iCs/>
          <w:i/>
        </w:rPr>
        <w:t xml:space="preserve">delivery</w:t>
      </w:r>
      <w:r>
        <w:t xml:space="preserve">: institutional adaptation of time, platform, task, participation mode, and assessment to the receiving context.</w:t>
      </w:r>
    </w:p>
    <w:p>
      <w:pPr>
        <w:pStyle w:val="FirstParagraph"/>
      </w:pPr>
      <w:r>
        <w:t xml:space="preserve">This analysis is concerned with the fourth, because that is the layer in which the problem of online Chinese teaching sits. Localisation of delivery does not replace accessibility or digital inclusion; it names the institutional decisions through which access is made possible or closed off when a course moves—the timing of the class, the required application, the oral task, or the form of assessment. The questionnaire did not observe those institutional decisions. It recorded the learner-side conditions against which such decisions would have to be judged, which is the empirical question this study can answer. The claim that follows is therefore conceptual rather than institutional: a course may be locally relevant in content but inaccessible in delivery. It is localised in delivery only when its required time, platform, participation mode, task design, and assessment are feasible where learners actually take part.</w:t>
      </w:r>
    </w:p>
    <w:p>
      <w:pPr>
        <w:pStyle w:val="BodyText"/>
      </w:pPr>
      <w:r>
        <w:t xml:space="preserve">Gong et al. (2020b) map ICLE in mainland China for 2014–2018 and are used here as a pre-pandemic field sketch, not as post-COVID evidence. Gao and Hua (2021) and Gong et al. (2020a) write about international students of Chinese</w:t>
      </w:r>
      <w:r>
        <w:t xml:space="preserve"> </w:t>
      </w:r>
      <w:r>
        <w:rPr>
          <w:iCs/>
          <w:i/>
        </w:rPr>
        <w:t xml:space="preserve">in</w:t>
      </w:r>
      <w:r>
        <w:t xml:space="preserve"> </w:t>
      </w:r>
      <w:r>
        <w:t xml:space="preserve">Chinese universities. Guenier, Xing and Yan (2026) describe a designed online Chinese-culture course, which is planned online teaching rather than emergency remote teaching. The respondents in the present study completed a Chinese-language questionnaire about online Chinese classes. They are not treated as a Confucius Institute classroom sample, and enrolment in a named Chinese university was not independently verified.</w:t>
      </w:r>
    </w:p>
    <w:bookmarkEnd w:id="24"/>
    <w:bookmarkStart w:id="25" w:name="conceptual-model"/>
    <w:p>
      <w:pPr>
        <w:pStyle w:val="Heading3"/>
      </w:pPr>
      <w:r>
        <w:t xml:space="preserve">2.4 Conceptual model</w:t>
      </w:r>
    </w:p>
    <w:p>
      <w:pPr>
        <w:pStyle w:val="FirstParagraph"/>
      </w:pPr>
      <w:r>
        <w:t xml:space="preserve">Figure 1 is offered as a reading model, not as a tested path. Household infrastructure and reported platform access are concurrent conditions of a travelling course and are interpreted as possible constraints on participation. Language investment is not part of the model.</w:t>
      </w:r>
    </w:p>
    <w:p>
      <w:pPr>
        <w:pStyle w:val="BodyText"/>
      </w:pPr>
      <w:r>
        <w:t xml:space="preserve">Figure 1. Localisation of delivery as delivery-context fit (reading model). Household infrastructure (power interruptions, network stability, speed) and reported platform access are concurrent conditions. They are interpreted as possible constraints on participation and on self-reported stress, interaction, appraisal, and replacement judgements. The figure is not a causal path.</w:t>
      </w:r>
    </w:p>
    <w:bookmarkEnd w:id="25"/>
    <w:bookmarkEnd w:id="26"/>
    <w:bookmarkStart w:id="32" w:name="the-study"/>
    <w:p>
      <w:pPr>
        <w:pStyle w:val="Heading2"/>
      </w:pPr>
      <w:r>
        <w:t xml:space="preserve">3. The study</w:t>
      </w:r>
    </w:p>
    <w:p>
      <w:pPr>
        <w:pStyle w:val="FirstParagraph"/>
      </w:pPr>
      <w:r>
        <w:t xml:space="preserve">The study is an exploratory, cross-sectional questionnaire. It does not test a pre-registered confirmatory model. What follows describes the instrument, the self-selected group who completed it, and the limits of what the questionnaire can support.</w:t>
      </w:r>
    </w:p>
    <w:bookmarkStart w:id="27" w:name="design-and-context"/>
    <w:p>
      <w:pPr>
        <w:pStyle w:val="Heading3"/>
      </w:pPr>
      <w:r>
        <w:t xml:space="preserve">3.1 Design and context</w:t>
      </w:r>
    </w:p>
    <w:p>
      <w:pPr>
        <w:pStyle w:val="FirstParagraph"/>
      </w:pPr>
      <w:r>
        <w:t xml:space="preserve">The instrument title on the Wenjuan export is 新冠肺炎期间留学生在线中文学习的影响因素 (Influencing factors in international students’ online Chinese learning during COVID-19). Complete cases were submitted between 5 and 8 February 2022 (N = 38), during emergency remote teaching. That collection window is reported as a methodological fact; the article reads the responses through the later lenses set out in Section 2 and does not treat the sample as a picture of current hybrid practice. The form did not record how the link was circulated—whether through WeChat, WhatsApp, email, or student groups—so the recruitment channel cannot be named. Respondents were adults who completed the Chinese-language questionnaire about online Chinese learning. Completing that questionnaire is not treated as proof of enrolment in a Chinese university. The instrument did not ask host university, city of residence that week, degree versus non-degree status, or scholarship type. Two items asked whether required courses and electives were being taken online: 27 respondents (71.1%) reported required courses online, and 23 (60.5%) reported electives online. Those answers do not identify a named programme. The study therefore concerns a self-selected group of respondents reporting participation in online Chinese-language courses, not a verified enrolment record.</w:t>
      </w:r>
    </w:p>
    <w:bookmarkEnd w:id="27"/>
    <w:bookmarkStart w:id="28" w:name="participants"/>
    <w:p>
      <w:pPr>
        <w:pStyle w:val="Heading3"/>
      </w:pPr>
      <w:r>
        <w:t xml:space="preserve">3.2 Participants</w:t>
      </w:r>
    </w:p>
    <w:p>
      <w:pPr>
        <w:pStyle w:val="FirstParagraph"/>
      </w:pPr>
      <w:r>
        <w:t xml:space="preserve">Of the 38 respondents, 27 were men (71.1%) and 11 were women (28.9%). Thirty-seven selected Pakistani nationality and one selected another nationality. That nationality item is the only Pakistan connection in the dataset. The group is not described as verified Chinese-university enrolment, as Pakistan-resident learners, as CSC students, or as a national sample. Self-rated Chinese level was mostly advanced (22, 57.9%) or intermediate (15, 39.5%), with one beginner; the label is the student’s own, not an HSK band. Years of learning Chinese clustered at three to four years (26, 68.4%). Wenjuan submission metadata classified the operating system as iPhone (24, 63.2%) or Android (14). That variable is the device used to submit the form, not an item about all devices used for class.</w:t>
      </w:r>
    </w:p>
    <w:p>
      <w:pPr>
        <w:pStyle w:val="BodyText"/>
      </w:pPr>
      <w:r>
        <w:t xml:space="preserve">Wenjuan automatically recorded an IP-province field. A dummy was coded when that field was a mainland China province name (9 of 38). IP labels are technical metadata. They can be affected by virtual private networks and proxies, and they are not a reliable measure of physical location. They are not used as a participant-location variable and are not the basis of a sensitivity analysis. The dummy, submission dates, and device identifiers are not included in the public dataset.</w:t>
      </w:r>
    </w:p>
    <w:bookmarkEnd w:id="28"/>
    <w:bookmarkStart w:id="29" w:name="instrument-and-coding"/>
    <w:p>
      <w:pPr>
        <w:pStyle w:val="Heading3"/>
      </w:pPr>
      <w:r>
        <w:t xml:space="preserve">3.3 Instrument and coding</w:t>
      </w:r>
    </w:p>
    <w:p>
      <w:pPr>
        <w:pStyle w:val="FirstParagraph"/>
      </w:pPr>
      <w:r>
        <w:t xml:space="preserve">The questionnaire comprised about 30 items: demographics, single-choice ordinals, and multiple-response lists. Stems are in Chinese, with some non-native wording (for example 您尝尝用什么平台). English glosses are used for reporting. Self-rated Chinese proficiency was intermediate or advanced for 37 of 38 respondents. The instrument did not include a comprehension check, so completion of the Chinese-language questionnaire is treated only as evidence that respondents were willing to answer in Chinese. Item wording for the appraisal index is given in Appendix A.</w:t>
      </w:r>
    </w:p>
    <w:p>
      <w:pPr>
        <w:pStyle w:val="BodyText"/>
      </w:pPr>
      <w:r>
        <w:t xml:space="preserve">A three-item</w:t>
      </w:r>
      <w:r>
        <w:t xml:space="preserve"> </w:t>
      </w:r>
      <w:r>
        <w:rPr>
          <w:iCs/>
          <w:i/>
        </w:rPr>
        <w:t xml:space="preserve">perceived online-learning appraisal index</w:t>
      </w:r>
      <w:r>
        <w:t xml:space="preserve"> </w:t>
      </w:r>
      <w:r>
        <w:t xml:space="preserve">was formed from learned much (Q8), improves Chinese (Q9), and sparks interest (Q10). The items ask related but not identical questions and are treated as a descriptive index, not as a validated unidimensional scale. Internal consistency was acceptable in this sample (Cronbach’s α = .84); Spearman inter-item correlations ranged from .55 to .75 (Appendix B). Exploratory factor analysis was not used (N = 38). Individual items are also reported. One double-tick on</w:t>
      </w:r>
      <w:r>
        <w:t xml:space="preserve"> </w:t>
      </w:r>
      <w:r>
        <w:t xml:space="preserve">“</w:t>
      </w:r>
      <w:r>
        <w:t xml:space="preserve">like online classes</w:t>
      </w:r>
      <w:r>
        <w:t xml:space="preserve">”</w:t>
      </w:r>
      <w:r>
        <w:t xml:space="preserve"> </w:t>
      </w:r>
      <w:r>
        <w:t xml:space="preserve">was excluded for that item only (n = 37 valid).</w:t>
      </w:r>
    </w:p>
    <w:p>
      <w:pPr>
        <w:pStyle w:val="BodyText"/>
      </w:pPr>
      <w:r>
        <w:t xml:space="preserve">Coding follows the Wenjuan export. Higher values on speed, learned, improve, interest, and teacher interaction indicate a more negative report (worse speed; less learning, improvement, or interest; thinner interaction). Stress (Q24) is a four-category questionnaire item coded 1 = very high to 4 = none.</w:t>
      </w:r>
      <w:r>
        <w:t xml:space="preserve"> </w:t>
      </w:r>
      <w:r>
        <w:rPr>
          <w:iCs/>
          <w:i/>
        </w:rPr>
        <w:t xml:space="preserve">Very high stress</w:t>
      </w:r>
      <w:r>
        <w:t xml:space="preserve"> </w:t>
      </w:r>
      <w:r>
        <w:t xml:space="preserve">is that first category (非常高), not an analyst-created threshold or a cut on a multi-item scale. The focal stress analysis uses a dummy for this category and does not reverse the ordinal. Full coding directions are in Table A1.</w:t>
      </w:r>
    </w:p>
    <w:p>
      <w:pPr>
        <w:pStyle w:val="BodyText"/>
      </w:pPr>
      <w:r>
        <w:t xml:space="preserve">The export labelled one multiple-response problem as</w:t>
      </w:r>
      <w:r>
        <w:t xml:space="preserve"> </w:t>
      </w:r>
      <w:r>
        <w:t xml:space="preserve">“</w:t>
      </w:r>
      <w:r>
        <w:t xml:space="preserve">no electricity.</w:t>
      </w:r>
      <w:r>
        <w:t xml:space="preserve">”</w:t>
      </w:r>
      <w:r>
        <w:t xml:space="preserve"> </w:t>
      </w:r>
      <w:r>
        <w:t xml:space="preserve">References to load-shedding elsewhere in the article are contextual. In the results the item is reported as</w:t>
      </w:r>
      <w:r>
        <w:t xml:space="preserve"> </w:t>
      </w:r>
      <w:r>
        <w:rPr>
          <w:iCs/>
          <w:i/>
        </w:rPr>
        <w:t xml:space="preserve">power interruptions</w:t>
      </w:r>
      <w:r>
        <w:t xml:space="preserve"> </w:t>
      </w:r>
      <w:r>
        <w:t xml:space="preserve">(export label: no electricity).</w:t>
      </w:r>
      <w:r>
        <w:t xml:space="preserve"> </w:t>
      </w:r>
      <w:r>
        <w:t xml:space="preserve">“</w:t>
      </w:r>
      <w:r>
        <w:t xml:space="preserve">中国慕课</w:t>
      </w:r>
      <w:r>
        <w:t xml:space="preserve">”</w:t>
      </w:r>
      <w:r>
        <w:t xml:space="preserve"> </w:t>
      </w:r>
      <w:r>
        <w:t xml:space="preserve">is reported as printed on the form; the option did not name a single provider such as 中国大学MOOC.</w:t>
      </w:r>
    </w:p>
    <w:bookmarkEnd w:id="29"/>
    <w:bookmarkStart w:id="30" w:name="analysis"/>
    <w:p>
      <w:pPr>
        <w:pStyle w:val="Heading3"/>
      </w:pPr>
      <w:r>
        <w:t xml:space="preserve">3.4 Analysis</w:t>
      </w:r>
    </w:p>
    <w:p>
      <w:pPr>
        <w:pStyle w:val="FirstParagraph"/>
      </w:pPr>
      <w:r>
        <w:t xml:space="preserve">Frequencies are n/38 unless noted. Multiple-response items are the percentage who selected the option. Two associations were treated as focal: (a) home affects study very much × very high stress; and (b) internet speed × the appraisal index. For the 2 × 2 table we report cell counts and two-sided Fisher’s exact</w:t>
      </w:r>
      <w:r>
        <w:t xml:space="preserve"> </w:t>
      </w:r>
      <w:r>
        <w:rPr>
          <w:iCs/>
          <w:i/>
        </w:rPr>
        <w:t xml:space="preserve">p</w:t>
      </w:r>
      <w:r>
        <w:t xml:space="preserve"> </w:t>
      </w:r>
      <w:r>
        <w:t xml:space="preserve">(SciPy</w:t>
      </w:r>
      <w:r>
        <w:t xml:space="preserve"> </w:t>
      </w:r>
      <w:r>
        <w:rPr>
          <w:rStyle w:val="VerbatimChar"/>
        </w:rPr>
        <w:t xml:space="preserve">fisher_exact</w:t>
      </w:r>
      <w:r>
        <w:t xml:space="preserve">). Odds ratios and Wald confidence intervals are not reported: at N = 38 they are unstable, and a Wald interval can disagree with Fisher’s</w:t>
      </w:r>
      <w:r>
        <w:t xml:space="preserve"> </w:t>
      </w:r>
      <w:r>
        <w:rPr>
          <w:iCs/>
          <w:i/>
        </w:rPr>
        <w:t xml:space="preserve">p</w:t>
      </w:r>
      <w:r>
        <w:t xml:space="preserve">. For the ordinal pair we report Spearman’s ρ and a percentile bootstrap 95% confidence interval calculated from 5,000 resamples. Other associations, including gender, are secondary and are placed in Appendix B.</w:t>
      </w:r>
      <w:r>
        <w:t xml:space="preserve"> </w:t>
      </w:r>
      <w:r>
        <w:rPr>
          <w:iCs/>
          <w:i/>
        </w:rPr>
        <w:t xml:space="preserve">p</w:t>
      </w:r>
      <w:r>
        <w:t xml:space="preserve"> </w:t>
      </w:r>
      <w:r>
        <w:t xml:space="preserve">values are not adjusted for multiplicity and are not interpreted as confirmatory.</w:t>
      </w:r>
    </w:p>
    <w:p>
      <w:pPr>
        <w:pStyle w:val="BodyText"/>
      </w:pPr>
      <w:r>
        <w:t xml:space="preserve">A Pakistani-nationality check (n = 37) is reported only to show that dropping the one non-Pakistani case does not reverse the two focal associations. It is not a location analysis.</w:t>
      </w:r>
    </w:p>
    <w:bookmarkEnd w:id="30"/>
    <w:bookmarkStart w:id="31" w:name="ethics-and-data-protection"/>
    <w:p>
      <w:pPr>
        <w:pStyle w:val="Heading3"/>
      </w:pPr>
      <w:r>
        <w:t xml:space="preserve">3.5 Ethics and data protection</w:t>
      </w:r>
    </w:p>
    <w:p>
      <w:pPr>
        <w:pStyle w:val="FirstParagraph"/>
      </w:pPr>
      <w:r>
        <w:t xml:space="preserve">Adult respondents completed an online form presented as research on online Chinese learning. The form stated that answers would be used for research, and completion and submission were treated as consent. Names, IP addresses, exact timestamps, and device identifiers were removed before the public file was prepared.</w:t>
      </w:r>
    </w:p>
    <w:p>
      <w:pPr>
        <w:pStyle w:val="BodyText"/>
      </w:pPr>
      <w:r>
        <w:t xml:space="preserve">No institutional ethics approval number is available for the original 2022 data collection. The first author was then an M.Phil. student, and numbered approval was not obtained. This article reports an anonymised secondary analysis of that file.</w:t>
      </w:r>
    </w:p>
    <w:bookmarkEnd w:id="31"/>
    <w:bookmarkEnd w:id="32"/>
    <w:bookmarkStart w:id="37" w:name="results"/>
    <w:p>
      <w:pPr>
        <w:pStyle w:val="Heading2"/>
      </w:pPr>
      <w:r>
        <w:t xml:space="preserve">4. Results</w:t>
      </w:r>
    </w:p>
    <w:bookmarkStart w:id="33" w:name="respondents-and-reported-conditions"/>
    <w:p>
      <w:pPr>
        <w:pStyle w:val="Heading3"/>
      </w:pPr>
      <w:r>
        <w:t xml:space="preserve">4.1 Respondents and reported conditions</w:t>
      </w:r>
    </w:p>
    <w:p>
      <w:pPr>
        <w:pStyle w:val="FirstParagraph"/>
      </w:pPr>
      <w:r>
        <w:t xml:space="preserve">Table 1 locates the sample. Most respondents (78.9%) said all of their Chinese classes were online, and more than half (57.9%) reported working alongside study.</w:t>
      </w:r>
    </w:p>
    <w:p>
      <w:pPr>
        <w:pStyle w:val="BodyText"/>
      </w:pPr>
      <w:r>
        <w:rPr>
          <w:bCs/>
          <w:b/>
        </w:rPr>
        <w:t xml:space="preserve">Table 1</w:t>
      </w:r>
    </w:p>
    <w:p>
      <w:pPr>
        <w:pStyle w:val="BodyText"/>
      </w:pPr>
      <w:r>
        <w:rPr>
          <w:iCs/>
          <w:i/>
        </w:rPr>
        <w:t xml:space="preserve">Respondents (N = 38)</w:t>
      </w:r>
    </w:p>
    <w:tbl>
      <w:tblPr>
        <w:tblStyle w:val="Table"/>
        <w:tblW w:type="pct" w:w="5000"/>
        <w:tblLook w:firstRow="1" w:lastRow="0" w:firstColumn="0" w:lastColumn="0" w:noHBand="0" w:noVBand="0" w:val="0020"/>
        <w:jc w:val="start"/>
      </w:tblPr>
      <w:tblGrid>
        <w:gridCol w:w="2160"/>
        <w:gridCol w:w="2880"/>
        <w:gridCol w:w="2880"/>
      </w:tblGrid>
      <w:tr>
        <w:trPr>
          <w:tblHeader w:val="true"/>
        </w:trPr>
        <w:tc>
          <w:tcPr/>
          <w:p>
            <w:pPr>
              <w:pStyle w:val="Compact"/>
              <w:jc w:val="left"/>
            </w:pPr>
            <w:r>
              <w:t xml:space="preserve">Variable</w:t>
            </w:r>
          </w:p>
        </w:tc>
        <w:tc>
          <w:tcPr/>
          <w:p>
            <w:pPr>
              <w:pStyle w:val="Compact"/>
              <w:jc w:val="right"/>
            </w:pPr>
            <w:r>
              <w:t xml:space="preserve">n</w:t>
            </w:r>
          </w:p>
        </w:tc>
        <w:tc>
          <w:tcPr/>
          <w:p>
            <w:pPr>
              <w:pStyle w:val="Compact"/>
              <w:jc w:val="right"/>
            </w:pPr>
            <w:r>
              <w:t xml:space="preserve">%</w:t>
            </w:r>
          </w:p>
        </w:tc>
      </w:tr>
      <w:tr>
        <w:tc>
          <w:tcPr/>
          <w:p>
            <w:pPr>
              <w:pStyle w:val="Compact"/>
              <w:jc w:val="left"/>
            </w:pPr>
            <w:r>
              <w:t xml:space="preserve">Male</w:t>
            </w:r>
          </w:p>
        </w:tc>
        <w:tc>
          <w:tcPr/>
          <w:p>
            <w:pPr>
              <w:pStyle w:val="Compact"/>
              <w:jc w:val="right"/>
            </w:pPr>
            <w:r>
              <w:t xml:space="preserve">27</w:t>
            </w:r>
          </w:p>
        </w:tc>
        <w:tc>
          <w:tcPr/>
          <w:p>
            <w:pPr>
              <w:pStyle w:val="Compact"/>
              <w:jc w:val="right"/>
            </w:pPr>
            <w:r>
              <w:t xml:space="preserve">71.1</w:t>
            </w:r>
          </w:p>
        </w:tc>
      </w:tr>
      <w:tr>
        <w:tc>
          <w:tcPr/>
          <w:p>
            <w:pPr>
              <w:pStyle w:val="Compact"/>
              <w:jc w:val="left"/>
            </w:pPr>
            <w:r>
              <w:t xml:space="preserve">Female</w:t>
            </w:r>
          </w:p>
        </w:tc>
        <w:tc>
          <w:tcPr/>
          <w:p>
            <w:pPr>
              <w:pStyle w:val="Compact"/>
              <w:jc w:val="right"/>
            </w:pPr>
            <w:r>
              <w:t xml:space="preserve">11</w:t>
            </w:r>
          </w:p>
        </w:tc>
        <w:tc>
          <w:tcPr/>
          <w:p>
            <w:pPr>
              <w:pStyle w:val="Compact"/>
              <w:jc w:val="right"/>
            </w:pPr>
            <w:r>
              <w:t xml:space="preserve">28.9</w:t>
            </w:r>
          </w:p>
        </w:tc>
      </w:tr>
      <w:tr>
        <w:tc>
          <w:tcPr/>
          <w:p>
            <w:pPr>
              <w:pStyle w:val="Compact"/>
              <w:jc w:val="left"/>
            </w:pPr>
            <w:r>
              <w:t xml:space="preserve">Pakistani nationality</w:t>
            </w:r>
          </w:p>
        </w:tc>
        <w:tc>
          <w:tcPr/>
          <w:p>
            <w:pPr>
              <w:pStyle w:val="Compact"/>
              <w:jc w:val="right"/>
            </w:pPr>
            <w:r>
              <w:t xml:space="preserve">37</w:t>
            </w:r>
          </w:p>
        </w:tc>
        <w:tc>
          <w:tcPr/>
          <w:p>
            <w:pPr>
              <w:pStyle w:val="Compact"/>
              <w:jc w:val="right"/>
            </w:pPr>
            <w:r>
              <w:t xml:space="preserve">97.4</w:t>
            </w:r>
          </w:p>
        </w:tc>
      </w:tr>
      <w:tr>
        <w:tc>
          <w:tcPr/>
          <w:p>
            <w:pPr>
              <w:pStyle w:val="Compact"/>
              <w:jc w:val="left"/>
            </w:pPr>
            <w:r>
              <w:t xml:space="preserve">Other</w:t>
            </w:r>
          </w:p>
        </w:tc>
        <w:tc>
          <w:tcPr/>
          <w:p>
            <w:pPr>
              <w:pStyle w:val="Compact"/>
              <w:jc w:val="right"/>
            </w:pPr>
            <w:r>
              <w:t xml:space="preserve">1</w:t>
            </w:r>
          </w:p>
        </w:tc>
        <w:tc>
          <w:tcPr/>
          <w:p>
            <w:pPr>
              <w:pStyle w:val="Compact"/>
              <w:jc w:val="right"/>
            </w:pPr>
            <w:r>
              <w:t xml:space="preserve">2.6</w:t>
            </w:r>
          </w:p>
        </w:tc>
      </w:tr>
      <w:tr>
        <w:tc>
          <w:tcPr/>
          <w:p>
            <w:pPr>
              <w:pStyle w:val="Compact"/>
              <w:jc w:val="left"/>
            </w:pPr>
            <w:r>
              <w:t xml:space="preserve">Beginner / intermediate / advanced Chinese (self-rating)</w:t>
            </w:r>
          </w:p>
        </w:tc>
        <w:tc>
          <w:tcPr/>
          <w:p>
            <w:pPr>
              <w:pStyle w:val="Compact"/>
              <w:jc w:val="right"/>
            </w:pPr>
            <w:r>
              <w:t xml:space="preserve">1 / 15 / 22</w:t>
            </w:r>
          </w:p>
        </w:tc>
        <w:tc>
          <w:tcPr/>
          <w:p>
            <w:pPr>
              <w:pStyle w:val="Compact"/>
              <w:jc w:val="right"/>
            </w:pPr>
            <w:r>
              <w:t xml:space="preserve">2.6 / 39.5 / 57.9</w:t>
            </w:r>
          </w:p>
        </w:tc>
      </w:tr>
      <w:tr>
        <w:tc>
          <w:tcPr/>
          <w:p>
            <w:pPr>
              <w:pStyle w:val="Compact"/>
              <w:jc w:val="left"/>
            </w:pPr>
            <w:r>
              <w:t xml:space="preserve">Years of Chinese: 1 to 2 / 3 to 4 / 5 to 6 / 6+</w:t>
            </w:r>
          </w:p>
        </w:tc>
        <w:tc>
          <w:tcPr/>
          <w:p>
            <w:pPr>
              <w:pStyle w:val="Compact"/>
              <w:jc w:val="right"/>
            </w:pPr>
            <w:r>
              <w:t xml:space="preserve">3 / 26 / 8 / 1</w:t>
            </w:r>
          </w:p>
        </w:tc>
        <w:tc>
          <w:tcPr/>
          <w:p>
            <w:pPr>
              <w:pStyle w:val="Compact"/>
              <w:jc w:val="right"/>
            </w:pPr>
            <w:r>
              <w:t xml:space="preserve">7.9 / 68.4 / 21.1 / 2.6</w:t>
            </w:r>
          </w:p>
        </w:tc>
      </w:tr>
      <w:tr>
        <w:tc>
          <w:tcPr/>
          <w:p>
            <w:pPr>
              <w:pStyle w:val="Compact"/>
              <w:jc w:val="left"/>
            </w:pPr>
            <w:r>
              <w:t xml:space="preserve">All Chinese classes online</w:t>
            </w:r>
          </w:p>
        </w:tc>
        <w:tc>
          <w:tcPr/>
          <w:p>
            <w:pPr>
              <w:pStyle w:val="Compact"/>
              <w:jc w:val="right"/>
            </w:pPr>
            <w:r>
              <w:t xml:space="preserve">30</w:t>
            </w:r>
          </w:p>
        </w:tc>
        <w:tc>
          <w:tcPr/>
          <w:p>
            <w:pPr>
              <w:pStyle w:val="Compact"/>
              <w:jc w:val="right"/>
            </w:pPr>
            <w:r>
              <w:t xml:space="preserve">78.9</w:t>
            </w:r>
          </w:p>
        </w:tc>
      </w:tr>
      <w:tr>
        <w:tc>
          <w:tcPr/>
          <w:p>
            <w:pPr>
              <w:pStyle w:val="Compact"/>
              <w:jc w:val="left"/>
            </w:pPr>
            <w:r>
              <w:t xml:space="preserve">Working while studying</w:t>
            </w:r>
          </w:p>
        </w:tc>
        <w:tc>
          <w:tcPr/>
          <w:p>
            <w:pPr>
              <w:pStyle w:val="Compact"/>
              <w:jc w:val="right"/>
            </w:pPr>
            <w:r>
              <w:t xml:space="preserve">22</w:t>
            </w:r>
          </w:p>
        </w:tc>
        <w:tc>
          <w:tcPr/>
          <w:p>
            <w:pPr>
              <w:pStyle w:val="Compact"/>
              <w:jc w:val="right"/>
            </w:pPr>
            <w:r>
              <w:t xml:space="preserve">57.9</w:t>
            </w:r>
          </w:p>
        </w:tc>
      </w:tr>
      <w:tr>
        <w:tc>
          <w:tcPr/>
          <w:p>
            <w:pPr>
              <w:pStyle w:val="Compact"/>
              <w:jc w:val="left"/>
            </w:pPr>
            <w:r>
              <w:t xml:space="preserve">Submission device: iPhone / Android</w:t>
            </w:r>
          </w:p>
        </w:tc>
        <w:tc>
          <w:tcPr/>
          <w:p>
            <w:pPr>
              <w:pStyle w:val="Compact"/>
              <w:jc w:val="right"/>
            </w:pPr>
            <w:r>
              <w:t xml:space="preserve">24 / 14</w:t>
            </w:r>
          </w:p>
        </w:tc>
        <w:tc>
          <w:tcPr/>
          <w:p>
            <w:pPr>
              <w:pStyle w:val="Compact"/>
              <w:jc w:val="right"/>
            </w:pPr>
            <w:r>
              <w:t xml:space="preserve">63.2 / 36.8</w:t>
            </w:r>
          </w:p>
        </w:tc>
      </w:tr>
      <w:tr>
        <w:tc>
          <w:tcPr/>
          <w:p>
            <w:pPr>
              <w:pStyle w:val="Compact"/>
              <w:jc w:val="left"/>
            </w:pPr>
            <w:r>
              <w:t xml:space="preserve">Total</w:t>
            </w:r>
          </w:p>
        </w:tc>
        <w:tc>
          <w:tcPr/>
          <w:p>
            <w:pPr>
              <w:pStyle w:val="Compact"/>
              <w:jc w:val="right"/>
            </w:pPr>
            <w:r>
              <w:t xml:space="preserve">38</w:t>
            </w:r>
          </w:p>
        </w:tc>
        <w:tc>
          <w:tcPr/>
          <w:p>
            <w:pPr>
              <w:pStyle w:val="Compact"/>
              <w:jc w:val="right"/>
            </w:pPr>
            <w:r>
              <w:t xml:space="preserve">100</w:t>
            </w:r>
          </w:p>
        </w:tc>
      </w:tr>
    </w:tbl>
    <w:p>
      <w:pPr>
        <w:pStyle w:val="BodyText"/>
      </w:pPr>
      <w:r>
        <w:rPr>
          <w:iCs/>
          <w:i/>
        </w:rPr>
        <w:t xml:space="preserve">Note.</w:t>
      </w:r>
      <w:r>
        <w:t xml:space="preserve"> </w:t>
      </w:r>
      <w:r>
        <w:t xml:space="preserve">Convenience sample, Wenjuan, 5 to 8 February 2022. Device is the operating system recorded at submission, reported only as an aggregate.</w:t>
      </w:r>
    </w:p>
    <w:p>
      <w:pPr>
        <w:pStyle w:val="BodyText"/>
      </w:pPr>
      <w:r>
        <w:t xml:space="preserve">Table 2 summarises the conditions respondents reported. Unstable networks (76.3%) and power interruptions (42.1%) were common. Speed was split: 36.8% good or very good, 36.8% average, and 26.3% bad or very bad. Four respondents (10.5%) said their country did not have internet, yet all 38 submitted an online form. The item wording does not allow a firm reinterpretation, so the response is reported as given. Only 11 of 38 (28.9%) described the home as quiet.</w:t>
      </w:r>
    </w:p>
    <w:p>
      <w:pPr>
        <w:pStyle w:val="BodyText"/>
      </w:pPr>
      <w:r>
        <w:rPr>
          <w:bCs/>
          <w:b/>
        </w:rPr>
        <w:t xml:space="preserve">Table 2</w:t>
      </w:r>
    </w:p>
    <w:p>
      <w:pPr>
        <w:pStyle w:val="BodyText"/>
      </w:pPr>
      <w:r>
        <w:rPr>
          <w:iCs/>
          <w:i/>
        </w:rPr>
        <w:t xml:space="preserve">Reported conditions and selected outcomes (N = 38)</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Indicator</w:t>
            </w:r>
          </w:p>
        </w:tc>
        <w:tc>
          <w:tcPr/>
          <w:p>
            <w:pPr>
              <w:pStyle w:val="Compact"/>
              <w:jc w:val="right"/>
            </w:pPr>
            <w:r>
              <w:t xml:space="preserve">n</w:t>
            </w:r>
          </w:p>
        </w:tc>
        <w:tc>
          <w:tcPr/>
          <w:p>
            <w:pPr>
              <w:pStyle w:val="Compact"/>
              <w:jc w:val="right"/>
            </w:pPr>
            <w:r>
              <w:t xml:space="preserve">%</w:t>
            </w:r>
          </w:p>
        </w:tc>
      </w:tr>
      <w:tr>
        <w:tc>
          <w:tcPr/>
          <w:p>
            <w:pPr>
              <w:pStyle w:val="Compact"/>
              <w:jc w:val="left"/>
            </w:pPr>
            <w:r>
              <w:t xml:space="preserve">Unstable network</w:t>
            </w:r>
          </w:p>
        </w:tc>
        <w:tc>
          <w:tcPr/>
          <w:p>
            <w:pPr>
              <w:pStyle w:val="Compact"/>
              <w:jc w:val="right"/>
            </w:pPr>
            <w:r>
              <w:t xml:space="preserve">29</w:t>
            </w:r>
          </w:p>
        </w:tc>
        <w:tc>
          <w:tcPr/>
          <w:p>
            <w:pPr>
              <w:pStyle w:val="Compact"/>
              <w:jc w:val="right"/>
            </w:pPr>
            <w:r>
              <w:t xml:space="preserve">76.3</w:t>
            </w:r>
          </w:p>
        </w:tc>
      </w:tr>
      <w:tr>
        <w:tc>
          <w:tcPr/>
          <w:p>
            <w:pPr>
              <w:pStyle w:val="Compact"/>
              <w:jc w:val="left"/>
            </w:pPr>
            <w:r>
              <w:t xml:space="preserve">Power interruptions (export label: no electricity)</w:t>
            </w:r>
          </w:p>
        </w:tc>
        <w:tc>
          <w:tcPr/>
          <w:p>
            <w:pPr>
              <w:pStyle w:val="Compact"/>
              <w:jc w:val="right"/>
            </w:pPr>
            <w:r>
              <w:t xml:space="preserve">16</w:t>
            </w:r>
          </w:p>
        </w:tc>
        <w:tc>
          <w:tcPr/>
          <w:p>
            <w:pPr>
              <w:pStyle w:val="Compact"/>
              <w:jc w:val="right"/>
            </w:pPr>
            <w:r>
              <w:t xml:space="preserve">42.1</w:t>
            </w:r>
          </w:p>
        </w:tc>
      </w:tr>
      <w:tr>
        <w:tc>
          <w:tcPr/>
          <w:p>
            <w:pPr>
              <w:pStyle w:val="Compact"/>
              <w:jc w:val="left"/>
            </w:pPr>
            <w:r>
              <w:t xml:space="preserve">No signal</w:t>
            </w:r>
          </w:p>
        </w:tc>
        <w:tc>
          <w:tcPr/>
          <w:p>
            <w:pPr>
              <w:pStyle w:val="Compact"/>
              <w:jc w:val="right"/>
            </w:pPr>
            <w:r>
              <w:t xml:space="preserve">12</w:t>
            </w:r>
          </w:p>
        </w:tc>
        <w:tc>
          <w:tcPr/>
          <w:p>
            <w:pPr>
              <w:pStyle w:val="Compact"/>
              <w:jc w:val="right"/>
            </w:pPr>
            <w:r>
              <w:t xml:space="preserve">31.6</w:t>
            </w:r>
          </w:p>
        </w:tc>
      </w:tr>
      <w:tr>
        <w:tc>
          <w:tcPr/>
          <w:p>
            <w:pPr>
              <w:pStyle w:val="Compact"/>
              <w:jc w:val="left"/>
            </w:pPr>
            <w:r>
              <w:t xml:space="preserve">Internet speed poor or very poor</w:t>
            </w:r>
          </w:p>
        </w:tc>
        <w:tc>
          <w:tcPr/>
          <w:p>
            <w:pPr>
              <w:pStyle w:val="Compact"/>
              <w:jc w:val="right"/>
            </w:pPr>
            <w:r>
              <w:t xml:space="preserve">10</w:t>
            </w:r>
          </w:p>
        </w:tc>
        <w:tc>
          <w:tcPr/>
          <w:p>
            <w:pPr>
              <w:pStyle w:val="Compact"/>
              <w:jc w:val="right"/>
            </w:pPr>
            <w:r>
              <w:t xml:space="preserve">26.3</w:t>
            </w:r>
          </w:p>
        </w:tc>
      </w:tr>
      <w:tr>
        <w:tc>
          <w:tcPr/>
          <w:p>
            <w:pPr>
              <w:pStyle w:val="Compact"/>
              <w:jc w:val="left"/>
            </w:pPr>
            <w:r>
              <w:t xml:space="preserve">Home not quiet</w:t>
            </w:r>
          </w:p>
        </w:tc>
        <w:tc>
          <w:tcPr/>
          <w:p>
            <w:pPr>
              <w:pStyle w:val="Compact"/>
              <w:jc w:val="right"/>
            </w:pPr>
            <w:r>
              <w:t xml:space="preserve">27</w:t>
            </w:r>
          </w:p>
        </w:tc>
        <w:tc>
          <w:tcPr/>
          <w:p>
            <w:pPr>
              <w:pStyle w:val="Compact"/>
              <w:jc w:val="right"/>
            </w:pPr>
            <w:r>
              <w:t xml:space="preserve">71.1</w:t>
            </w:r>
          </w:p>
        </w:tc>
      </w:tr>
      <w:tr>
        <w:tc>
          <w:tcPr/>
          <w:p>
            <w:pPr>
              <w:pStyle w:val="Compact"/>
              <w:jc w:val="left"/>
            </w:pPr>
            <w:r>
              <w:t xml:space="preserve">Home affects study very much</w:t>
            </w:r>
          </w:p>
        </w:tc>
        <w:tc>
          <w:tcPr/>
          <w:p>
            <w:pPr>
              <w:pStyle w:val="Compact"/>
              <w:jc w:val="right"/>
            </w:pPr>
            <w:r>
              <w:t xml:space="preserve">14</w:t>
            </w:r>
          </w:p>
        </w:tc>
        <w:tc>
          <w:tcPr/>
          <w:p>
            <w:pPr>
              <w:pStyle w:val="Compact"/>
              <w:jc w:val="right"/>
            </w:pPr>
            <w:r>
              <w:t xml:space="preserve">36.8</w:t>
            </w:r>
          </w:p>
        </w:tc>
      </w:tr>
      <w:tr>
        <w:tc>
          <w:tcPr/>
          <w:p>
            <w:pPr>
              <w:pStyle w:val="Compact"/>
              <w:jc w:val="left"/>
            </w:pPr>
            <w:r>
              <w:t xml:space="preserve">Very high psychological stress</w:t>
            </w:r>
          </w:p>
        </w:tc>
        <w:tc>
          <w:tcPr/>
          <w:p>
            <w:pPr>
              <w:pStyle w:val="Compact"/>
              <w:jc w:val="right"/>
            </w:pPr>
            <w:r>
              <w:t xml:space="preserve">14</w:t>
            </w:r>
          </w:p>
        </w:tc>
        <w:tc>
          <w:tcPr/>
          <w:p>
            <w:pPr>
              <w:pStyle w:val="Compact"/>
              <w:jc w:val="right"/>
            </w:pPr>
            <w:r>
              <w:t xml:space="preserve">36.8</w:t>
            </w:r>
          </w:p>
        </w:tc>
      </w:tr>
      <w:tr>
        <w:tc>
          <w:tcPr/>
          <w:p>
            <w:pPr>
              <w:pStyle w:val="Compact"/>
              <w:jc w:val="left"/>
            </w:pPr>
            <w:r>
              <w:t xml:space="preserve">Online cannot replace face-to-face</w:t>
            </w:r>
          </w:p>
        </w:tc>
        <w:tc>
          <w:tcPr/>
          <w:p>
            <w:pPr>
              <w:pStyle w:val="Compact"/>
              <w:jc w:val="right"/>
            </w:pPr>
            <w:r>
              <w:t xml:space="preserve">19</w:t>
            </w:r>
          </w:p>
        </w:tc>
        <w:tc>
          <w:tcPr/>
          <w:p>
            <w:pPr>
              <w:pStyle w:val="Compact"/>
              <w:jc w:val="right"/>
            </w:pPr>
            <w:r>
              <w:t xml:space="preserve">50.0</w:t>
            </w:r>
          </w:p>
        </w:tc>
      </w:tr>
      <w:tr>
        <w:tc>
          <w:tcPr/>
          <w:p>
            <w:pPr>
              <w:pStyle w:val="Compact"/>
              <w:jc w:val="left"/>
            </w:pPr>
            <w:r>
              <w:t xml:space="preserve">Learned little or nothing online</w:t>
            </w:r>
          </w:p>
        </w:tc>
        <w:tc>
          <w:tcPr/>
          <w:p>
            <w:pPr>
              <w:pStyle w:val="Compact"/>
              <w:jc w:val="right"/>
            </w:pPr>
            <w:r>
              <w:t xml:space="preserve">11</w:t>
            </w:r>
          </w:p>
        </w:tc>
        <w:tc>
          <w:tcPr/>
          <w:p>
            <w:pPr>
              <w:pStyle w:val="Compact"/>
              <w:jc w:val="right"/>
            </w:pPr>
            <w:r>
              <w:t xml:space="preserve">28.9</w:t>
            </w:r>
          </w:p>
        </w:tc>
      </w:tr>
    </w:tbl>
    <w:p>
      <w:pPr>
        <w:pStyle w:val="BodyText"/>
      </w:pPr>
      <w:r>
        <w:t xml:space="preserve">Among those who said the home affected study very much, 11 of 14 also selected</w:t>
      </w:r>
      <w:r>
        <w:t xml:space="preserve"> </w:t>
      </w:r>
      <w:r>
        <w:t xml:space="preserve">“</w:t>
      </w:r>
      <w:r>
        <w:t xml:space="preserve">very high</w:t>
      </w:r>
      <w:r>
        <w:t xml:space="preserve">”</w:t>
      </w:r>
      <w:r>
        <w:t xml:space="preserve"> </w:t>
      </w:r>
      <w:r>
        <w:t xml:space="preserve">psychological stress; among the others, 3 of 24 did (two-sided Fisher’s exact</w:t>
      </w:r>
      <w:r>
        <w:t xml:space="preserve"> </w:t>
      </w:r>
      <w:r>
        <w:rPr>
          <w:iCs/>
          <w:i/>
        </w:rPr>
        <w:t xml:space="preserve">p</w:t>
      </w:r>
      <w:r>
        <w:t xml:space="preserve"> </w:t>
      </w:r>
      <w:r>
        <w:t xml:space="preserve">= .00008). That is a co-occurrence in this dataset, not evidence that the household caused stress. Descriptively, 36.8% of the sample selected the very-high-stress category.</w:t>
      </w:r>
    </w:p>
    <w:bookmarkEnd w:id="33"/>
    <w:bookmarkStart w:id="34" w:name="reported-platform-access"/>
    <w:p>
      <w:pPr>
        <w:pStyle w:val="Heading3"/>
      </w:pPr>
      <w:r>
        <w:t xml:space="preserve">4.2 Reported platform access</w:t>
      </w:r>
    </w:p>
    <w:p>
      <w:pPr>
        <w:pStyle w:val="FirstParagraph"/>
      </w:pPr>
      <w:r>
        <w:t xml:space="preserve">Respondents reported uneven access to institutionally familiar and consumer-facing platforms (Table 3). The pattern is read as a possible platform-geography dimension of delivery-context fit. The questionnaire cannot isolate country restrictions, routing, account rules, skills, or virtual private networks.</w:t>
      </w:r>
    </w:p>
    <w:p>
      <w:pPr>
        <w:pStyle w:val="BodyText"/>
      </w:pPr>
      <w:r>
        <w:t xml:space="preserve">The tools reported as used for class were Tencent Meeting (71.1%), Zoom (47.4%), and WeChat (31.6%). Those marked unusable</w:t>
      </w:r>
      <w:r>
        <w:t xml:space="preserve"> </w:t>
      </w:r>
      <w:r>
        <w:t xml:space="preserve">“</w:t>
      </w:r>
      <w:r>
        <w:t xml:space="preserve">in my country</w:t>
      </w:r>
      <w:r>
        <w:t xml:space="preserve">”</w:t>
      </w:r>
      <w:r>
        <w:t xml:space="preserve"> </w:t>
      </w:r>
      <w:r>
        <w:t xml:space="preserve">included QQ (50.0%), Chaoxing (42.1%), DingTalk (28.9%), and 中国慕课 (28.9%). Those marked available included Zoom (71.1%), WhatsApp (68.4%), Tencent Meeting (57.9%), and WeChat (39.5%). WhatsApp appears only as available; the retained form did not code whether it was used for class. Tencent Meeting was the most used class tool but was marked available by fewer respondents, a discrepancy left as an item-level inconsistency.</w:t>
      </w:r>
    </w:p>
    <w:p>
      <w:pPr>
        <w:pStyle w:val="BodyText"/>
      </w:pPr>
      <w:r>
        <w:rPr>
          <w:bCs/>
          <w:b/>
        </w:rPr>
        <w:t xml:space="preserve">Table 3</w:t>
      </w:r>
    </w:p>
    <w:p>
      <w:pPr>
        <w:pStyle w:val="BodyText"/>
      </w:pPr>
      <w:r>
        <w:rPr>
          <w:iCs/>
          <w:i/>
        </w:rPr>
        <w:t xml:space="preserve">Reported use and perceived availability of platforms (multiple response, N = 38)</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jc w:val="left"/>
            </w:pPr>
            <w:r>
              <w:t xml:space="preserve">Platform</w:t>
            </w:r>
          </w:p>
        </w:tc>
        <w:tc>
          <w:tcPr/>
          <w:p>
            <w:pPr>
              <w:pStyle w:val="Compact"/>
              <w:jc w:val="right"/>
            </w:pPr>
            <w:r>
              <w:t xml:space="preserve">Used for class</w:t>
            </w:r>
          </w:p>
        </w:tc>
        <w:tc>
          <w:tcPr/>
          <w:p>
            <w:pPr>
              <w:pStyle w:val="Compact"/>
              <w:jc w:val="right"/>
            </w:pPr>
            <w:r>
              <w:t xml:space="preserve">Marked unusable in my country</w:t>
            </w:r>
          </w:p>
        </w:tc>
        <w:tc>
          <w:tcPr/>
          <w:p>
            <w:pPr>
              <w:pStyle w:val="Compact"/>
              <w:jc w:val="right"/>
            </w:pPr>
            <w:r>
              <w:t xml:space="preserve">Can use in my country</w:t>
            </w:r>
          </w:p>
        </w:tc>
      </w:tr>
      <w:tr>
        <w:tc>
          <w:tcPr/>
          <w:p>
            <w:pPr>
              <w:pStyle w:val="Compact"/>
              <w:jc w:val="left"/>
            </w:pPr>
            <w:r>
              <w:t xml:space="preserve">Tencent Meeting</w:t>
            </w:r>
          </w:p>
        </w:tc>
        <w:tc>
          <w:tcPr/>
          <w:p>
            <w:pPr>
              <w:pStyle w:val="Compact"/>
              <w:jc w:val="right"/>
            </w:pPr>
            <w:r>
              <w:t xml:space="preserve">71.1</w:t>
            </w:r>
          </w:p>
        </w:tc>
        <w:tc>
          <w:tcPr/>
          <w:p>
            <w:pPr>
              <w:pStyle w:val="Compact"/>
              <w:jc w:val="right"/>
            </w:pPr>
            <w:r>
              <w:t xml:space="preserve">n.a.</w:t>
            </w:r>
          </w:p>
        </w:tc>
        <w:tc>
          <w:tcPr/>
          <w:p>
            <w:pPr>
              <w:pStyle w:val="Compact"/>
              <w:jc w:val="right"/>
            </w:pPr>
            <w:r>
              <w:t xml:space="preserve">57.9</w:t>
            </w:r>
          </w:p>
        </w:tc>
      </w:tr>
      <w:tr>
        <w:tc>
          <w:tcPr/>
          <w:p>
            <w:pPr>
              <w:pStyle w:val="Compact"/>
              <w:jc w:val="left"/>
            </w:pPr>
            <w:r>
              <w:t xml:space="preserve">Zoom</w:t>
            </w:r>
          </w:p>
        </w:tc>
        <w:tc>
          <w:tcPr/>
          <w:p>
            <w:pPr>
              <w:pStyle w:val="Compact"/>
              <w:jc w:val="right"/>
            </w:pPr>
            <w:r>
              <w:t xml:space="preserve">47.4</w:t>
            </w:r>
          </w:p>
        </w:tc>
        <w:tc>
          <w:tcPr/>
          <w:p>
            <w:pPr>
              <w:pStyle w:val="Compact"/>
              <w:jc w:val="right"/>
            </w:pPr>
            <w:r>
              <w:t xml:space="preserve">n.a.</w:t>
            </w:r>
          </w:p>
        </w:tc>
        <w:tc>
          <w:tcPr/>
          <w:p>
            <w:pPr>
              <w:pStyle w:val="Compact"/>
              <w:jc w:val="right"/>
            </w:pPr>
            <w:r>
              <w:t xml:space="preserve">71.1</w:t>
            </w:r>
          </w:p>
        </w:tc>
      </w:tr>
      <w:tr>
        <w:tc>
          <w:tcPr/>
          <w:p>
            <w:pPr>
              <w:pStyle w:val="Compact"/>
              <w:jc w:val="left"/>
            </w:pPr>
            <w:r>
              <w:t xml:space="preserve">WeChat</w:t>
            </w:r>
          </w:p>
        </w:tc>
        <w:tc>
          <w:tcPr/>
          <w:p>
            <w:pPr>
              <w:pStyle w:val="Compact"/>
              <w:jc w:val="right"/>
            </w:pPr>
            <w:r>
              <w:t xml:space="preserve">31.6</w:t>
            </w:r>
          </w:p>
        </w:tc>
        <w:tc>
          <w:tcPr/>
          <w:p>
            <w:pPr>
              <w:pStyle w:val="Compact"/>
              <w:jc w:val="right"/>
            </w:pPr>
            <w:r>
              <w:t xml:space="preserve">n.a.</w:t>
            </w:r>
          </w:p>
        </w:tc>
        <w:tc>
          <w:tcPr/>
          <w:p>
            <w:pPr>
              <w:pStyle w:val="Compact"/>
              <w:jc w:val="right"/>
            </w:pPr>
            <w:r>
              <w:t xml:space="preserve">39.5</w:t>
            </w:r>
          </w:p>
        </w:tc>
      </w:tr>
      <w:tr>
        <w:tc>
          <w:tcPr/>
          <w:p>
            <w:pPr>
              <w:pStyle w:val="Compact"/>
              <w:jc w:val="left"/>
            </w:pPr>
            <w:r>
              <w:t xml:space="preserve">WhatsApp</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68.4</w:t>
            </w:r>
          </w:p>
        </w:tc>
      </w:tr>
      <w:tr>
        <w:tc>
          <w:tcPr/>
          <w:p>
            <w:pPr>
              <w:pStyle w:val="Compact"/>
              <w:jc w:val="left"/>
            </w:pPr>
            <w:r>
              <w:t xml:space="preserve">QQ</w:t>
            </w:r>
          </w:p>
        </w:tc>
        <w:tc>
          <w:tcPr/>
          <w:p>
            <w:pPr>
              <w:pStyle w:val="Compact"/>
              <w:jc w:val="right"/>
            </w:pPr>
            <w:r>
              <w:t xml:space="preserve">n.a.</w:t>
            </w:r>
          </w:p>
        </w:tc>
        <w:tc>
          <w:tcPr/>
          <w:p>
            <w:pPr>
              <w:pStyle w:val="Compact"/>
              <w:jc w:val="right"/>
            </w:pPr>
            <w:r>
              <w:t xml:space="preserve">50.0</w:t>
            </w:r>
          </w:p>
        </w:tc>
        <w:tc>
          <w:tcPr/>
          <w:p>
            <w:pPr>
              <w:pStyle w:val="Compact"/>
              <w:jc w:val="right"/>
            </w:pPr>
            <w:r>
              <w:t xml:space="preserve">n.a.</w:t>
            </w:r>
          </w:p>
        </w:tc>
      </w:tr>
      <w:tr>
        <w:tc>
          <w:tcPr/>
          <w:p>
            <w:pPr>
              <w:pStyle w:val="Compact"/>
              <w:jc w:val="left"/>
            </w:pPr>
            <w:r>
              <w:t xml:space="preserve">Chaoxing</w:t>
            </w:r>
          </w:p>
        </w:tc>
        <w:tc>
          <w:tcPr/>
          <w:p>
            <w:pPr>
              <w:pStyle w:val="Compact"/>
              <w:jc w:val="right"/>
            </w:pPr>
            <w:r>
              <w:t xml:space="preserve">n.a.</w:t>
            </w:r>
          </w:p>
        </w:tc>
        <w:tc>
          <w:tcPr/>
          <w:p>
            <w:pPr>
              <w:pStyle w:val="Compact"/>
              <w:jc w:val="right"/>
            </w:pPr>
            <w:r>
              <w:t xml:space="preserve">42.1</w:t>
            </w:r>
          </w:p>
        </w:tc>
        <w:tc>
          <w:tcPr/>
          <w:p>
            <w:pPr>
              <w:pStyle w:val="Compact"/>
              <w:jc w:val="right"/>
            </w:pPr>
            <w:r>
              <w:t xml:space="preserve">n.a.</w:t>
            </w:r>
          </w:p>
        </w:tc>
      </w:tr>
      <w:tr>
        <w:tc>
          <w:tcPr/>
          <w:p>
            <w:pPr>
              <w:pStyle w:val="Compact"/>
              <w:jc w:val="left"/>
            </w:pPr>
            <w:r>
              <w:t xml:space="preserve">DingTalk</w:t>
            </w:r>
          </w:p>
        </w:tc>
        <w:tc>
          <w:tcPr/>
          <w:p>
            <w:pPr>
              <w:pStyle w:val="Compact"/>
              <w:jc w:val="right"/>
            </w:pPr>
            <w:r>
              <w:t xml:space="preserve">n.a.</w:t>
            </w:r>
          </w:p>
        </w:tc>
        <w:tc>
          <w:tcPr/>
          <w:p>
            <w:pPr>
              <w:pStyle w:val="Compact"/>
              <w:jc w:val="right"/>
            </w:pPr>
            <w:r>
              <w:t xml:space="preserve">28.9</w:t>
            </w:r>
          </w:p>
        </w:tc>
        <w:tc>
          <w:tcPr/>
          <w:p>
            <w:pPr>
              <w:pStyle w:val="Compact"/>
              <w:jc w:val="right"/>
            </w:pPr>
            <w:r>
              <w:t xml:space="preserve">n.a.</w:t>
            </w:r>
          </w:p>
        </w:tc>
      </w:tr>
      <w:tr>
        <w:tc>
          <w:tcPr/>
          <w:p>
            <w:pPr>
              <w:pStyle w:val="Compact"/>
              <w:jc w:val="left"/>
            </w:pPr>
            <w:r>
              <w:t xml:space="preserve">中国慕课 (Chinese MOOC, as printed)</w:t>
            </w:r>
          </w:p>
        </w:tc>
        <w:tc>
          <w:tcPr/>
          <w:p>
            <w:pPr>
              <w:pStyle w:val="Compact"/>
              <w:jc w:val="right"/>
            </w:pPr>
            <w:r>
              <w:t xml:space="preserve">n.a.</w:t>
            </w:r>
          </w:p>
        </w:tc>
        <w:tc>
          <w:tcPr/>
          <w:p>
            <w:pPr>
              <w:pStyle w:val="Compact"/>
              <w:jc w:val="right"/>
            </w:pPr>
            <w:r>
              <w:t xml:space="preserve">28.9</w:t>
            </w:r>
          </w:p>
        </w:tc>
        <w:tc>
          <w:tcPr/>
          <w:p>
            <w:pPr>
              <w:pStyle w:val="Compact"/>
              <w:jc w:val="right"/>
            </w:pPr>
            <w:r>
              <w:t xml:space="preserve">n.a.</w:t>
            </w:r>
          </w:p>
        </w:tc>
      </w:tr>
    </w:tbl>
    <w:p>
      <w:pPr>
        <w:pStyle w:val="BodyText"/>
      </w:pPr>
      <w:r>
        <w:rPr>
          <w:iCs/>
          <w:i/>
        </w:rPr>
        <w:t xml:space="preserve">Note.</w:t>
      </w:r>
      <w:r>
        <w:t xml:space="preserve"> </w:t>
      </w:r>
      <w:r>
        <w:t xml:space="preserve">n.a. = the item was not asked in that column.</w:t>
      </w:r>
      <w:r>
        <w:t xml:space="preserve"> </w:t>
      </w:r>
      <w:r>
        <w:t xml:space="preserve">“</w:t>
      </w:r>
      <w:r>
        <w:t xml:space="preserve">My country</w:t>
      </w:r>
      <w:r>
        <w:t xml:space="preserve">”</w:t>
      </w:r>
      <w:r>
        <w:t xml:space="preserve"> </w:t>
      </w:r>
      <w:r>
        <w:t xml:space="preserve">is the stem wording. QQ, Chaoxing, DingTalk, and 中国慕课 are platforms often used in Chinese-university teaching; they are not exclusively campus systems.</w:t>
      </w:r>
      <w:r>
        <w:t xml:space="preserve"> </w:t>
      </w:r>
      <w:r>
        <w:t xml:space="preserve">“</w:t>
      </w:r>
      <w:r>
        <w:t xml:space="preserve">Marked unusable</w:t>
      </w:r>
      <w:r>
        <w:t xml:space="preserve">”</w:t>
      </w:r>
      <w:r>
        <w:t xml:space="preserve"> </w:t>
      </w:r>
      <w:r>
        <w:t xml:space="preserve">follows the item wording and is not a technical claim that the platform was blocked.</w:t>
      </w:r>
    </w:p>
    <w:bookmarkEnd w:id="34"/>
    <w:bookmarkStart w:id="35" w:name="perceived-learning-and-internet-speed"/>
    <w:p>
      <w:pPr>
        <w:pStyle w:val="Heading3"/>
      </w:pPr>
      <w:r>
        <w:t xml:space="preserve">4.3 Perceived learning and internet speed</w:t>
      </w:r>
    </w:p>
    <w:p>
      <w:pPr>
        <w:pStyle w:val="FirstParagraph"/>
      </w:pPr>
      <w:r>
        <w:t xml:space="preserve">Active interaction with the teacher</w:t>
      </w:r>
      <w:r>
        <w:t xml:space="preserve"> </w:t>
      </w:r>
      <w:r>
        <w:t xml:space="preserve">“</w:t>
      </w:r>
      <w:r>
        <w:t xml:space="preserve">very much</w:t>
      </w:r>
      <w:r>
        <w:t xml:space="preserve">”</w:t>
      </w:r>
      <w:r>
        <w:t xml:space="preserve"> </w:t>
      </w:r>
      <w:r>
        <w:t xml:space="preserve">was reported by 6 of 38 (15.8%). When classroom talk was reported, it was mainly dialogue (76.3%) and question and answer (57.9%). Role-play was rare (7.9%).</w:t>
      </w:r>
    </w:p>
    <w:p>
      <w:pPr>
        <w:pStyle w:val="BodyText"/>
      </w:pPr>
      <w:r>
        <w:t xml:space="preserve">On the appraisal items, 18.4% said they could learn</w:t>
      </w:r>
      <w:r>
        <w:t xml:space="preserve"> </w:t>
      </w:r>
      <w:r>
        <w:t xml:space="preserve">“</w:t>
      </w:r>
      <w:r>
        <w:t xml:space="preserve">a lot</w:t>
      </w:r>
      <w:r>
        <w:t xml:space="preserve">”</w:t>
      </w:r>
      <w:r>
        <w:t xml:space="preserve"> </w:t>
      </w:r>
      <w:r>
        <w:t xml:space="preserve">online and 28.9% said little or nothing. Worse internet speed was associated with a worse appraisal index (ρ = .65,</w:t>
      </w:r>
      <w:r>
        <w:t xml:space="preserve"> </w:t>
      </w:r>
      <w:r>
        <w:rPr>
          <w:iCs/>
          <w:i/>
        </w:rPr>
        <w:t xml:space="preserve">p</w:t>
      </w:r>
      <w:r>
        <w:t xml:space="preserve"> </w:t>
      </w:r>
      <w:r>
        <w:t xml:space="preserve">&lt; .001, percentile bootstrap 95% CI [.36, .84]). A simple, unvalidated count of selected infrastructure-problem options (unstable network, power interruptions, no signal) was not associated with the index (ρ = .02,</w:t>
      </w:r>
      <w:r>
        <w:t xml:space="preserve"> </w:t>
      </w:r>
      <w:r>
        <w:rPr>
          <w:iCs/>
          <w:i/>
        </w:rPr>
        <w:t xml:space="preserve">p</w:t>
      </w:r>
      <w:r>
        <w:t xml:space="preserve"> </w:t>
      </w:r>
      <w:r>
        <w:t xml:space="preserve">= .91, percentile bootstrap 95% CI [−.32, .37]). That count is an exploratory post hoc indicator: unstable network and no signal may overlap, and power interruptions are a different layer of infrastructure. The non-significant correlation is therefore not read as evidence that speed matters but the number of problems does not. These are rank associations, not effects of infrastructure on learning.</w:t>
      </w:r>
    </w:p>
    <w:p>
      <w:pPr>
        <w:pStyle w:val="BodyText"/>
      </w:pPr>
      <w:r>
        <w:t xml:space="preserve">Preferred live length was 45 minutes for 50% and 30 minutes for 28.9%. One open comment said that even one minute online was</w:t>
      </w:r>
      <w:r>
        <w:t xml:space="preserve"> </w:t>
      </w:r>
      <w:r>
        <w:t xml:space="preserve">“</w:t>
      </w:r>
      <w:r>
        <w:t xml:space="preserve">not suitable.</w:t>
      </w:r>
      <w:r>
        <w:t xml:space="preserve">”</w:t>
      </w:r>
    </w:p>
    <w:p>
      <w:pPr>
        <w:pStyle w:val="BodyText"/>
      </w:pPr>
      <w:r>
        <w:rPr>
          <w:bCs/>
          <w:b/>
        </w:rPr>
        <w:t xml:space="preserve">Table 4</w:t>
      </w:r>
    </w:p>
    <w:p>
      <w:pPr>
        <w:pStyle w:val="BodyText"/>
      </w:pPr>
      <w:r>
        <w:rPr>
          <w:iCs/>
          <w:i/>
        </w:rPr>
        <w:t xml:space="preserve">Focal associations (N = 38)</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Association</w:t>
            </w:r>
          </w:p>
        </w:tc>
        <w:tc>
          <w:tcPr/>
          <w:p>
            <w:pPr>
              <w:pStyle w:val="Compact"/>
              <w:jc w:val="left"/>
            </w:pPr>
            <w:r>
              <w:t xml:space="preserve">Result</w:t>
            </w:r>
          </w:p>
        </w:tc>
      </w:tr>
      <w:tr>
        <w:tc>
          <w:tcPr/>
          <w:p>
            <w:pPr>
              <w:pStyle w:val="Compact"/>
              <w:jc w:val="left"/>
            </w:pPr>
            <w:r>
              <w:t xml:space="preserve">Home affects study very much × very high stress</w:t>
            </w:r>
          </w:p>
        </w:tc>
        <w:tc>
          <w:tcPr/>
          <w:p>
            <w:pPr>
              <w:pStyle w:val="Compact"/>
              <w:jc w:val="left"/>
            </w:pPr>
            <w:r>
              <w:t xml:space="preserve">11/14 vs 3/24; two-sided Fisher’s exact</w:t>
            </w:r>
            <w:r>
              <w:t xml:space="preserve"> </w:t>
            </w:r>
            <w:r>
              <w:rPr>
                <w:iCs/>
                <w:i/>
              </w:rPr>
              <w:t xml:space="preserve">p</w:t>
            </w:r>
            <w:r>
              <w:t xml:space="preserve"> </w:t>
            </w:r>
            <w:r>
              <w:t xml:space="preserve">= .00008</w:t>
            </w:r>
          </w:p>
        </w:tc>
      </w:tr>
      <w:tr>
        <w:tc>
          <w:tcPr/>
          <w:p>
            <w:pPr>
              <w:pStyle w:val="Compact"/>
              <w:jc w:val="left"/>
            </w:pPr>
            <w:r>
              <w:t xml:space="preserve">Speed (worse) × appraisal index (worse)</w:t>
            </w:r>
          </w:p>
        </w:tc>
        <w:tc>
          <w:tcPr/>
          <w:p>
            <w:pPr>
              <w:pStyle w:val="Compact"/>
              <w:jc w:val="left"/>
            </w:pPr>
            <w:r>
              <w:t xml:space="preserve">ρ = .65, percentile bootstrap 95% CI [.36, .84],</w:t>
            </w:r>
            <w:r>
              <w:t xml:space="preserve"> </w:t>
            </w:r>
            <w:r>
              <w:rPr>
                <w:iCs/>
                <w:i/>
              </w:rPr>
              <w:t xml:space="preserve">p</w:t>
            </w:r>
            <w:r>
              <w:t xml:space="preserve"> </w:t>
            </w:r>
            <w:r>
              <w:t xml:space="preserve">&lt; .001</w:t>
            </w:r>
          </w:p>
        </w:tc>
      </w:tr>
      <w:tr>
        <w:tc>
          <w:tcPr/>
          <w:p>
            <w:pPr>
              <w:pStyle w:val="Compact"/>
              <w:jc w:val="left"/>
            </w:pPr>
            <w:r>
              <w:t xml:space="preserve">Infrastructure-problem count × appraisal index (exploratory post hoc)</w:t>
            </w:r>
          </w:p>
        </w:tc>
        <w:tc>
          <w:tcPr/>
          <w:p>
            <w:pPr>
              <w:pStyle w:val="Compact"/>
              <w:jc w:val="left"/>
            </w:pPr>
            <w:r>
              <w:t xml:space="preserve">ρ = .02, percentile bootstrap 95% CI [−.32, .37],</w:t>
            </w:r>
            <w:r>
              <w:t xml:space="preserve"> </w:t>
            </w:r>
            <w:r>
              <w:rPr>
                <w:iCs/>
                <w:i/>
              </w:rPr>
              <w:t xml:space="preserve">p</w:t>
            </w:r>
            <w:r>
              <w:t xml:space="preserve"> </w:t>
            </w:r>
            <w:r>
              <w:t xml:space="preserve">= .91</w:t>
            </w:r>
          </w:p>
        </w:tc>
      </w:tr>
    </w:tbl>
    <w:p>
      <w:pPr>
        <w:pStyle w:val="BodyText"/>
      </w:pPr>
      <w:r>
        <w:rPr>
          <w:iCs/>
          <w:i/>
        </w:rPr>
        <w:t xml:space="preserve">Note.</w:t>
      </w:r>
      <w:r>
        <w:t xml:space="preserve"> </w:t>
      </w:r>
      <w:r>
        <w:t xml:space="preserve">Analyses are exploratory. Odds ratios are omitted. The infrastructure-problem count is an unvalidated post hoc indicator and is not treated as a parallel scale.</w:t>
      </w:r>
    </w:p>
    <w:p>
      <w:pPr>
        <w:pStyle w:val="BodyText"/>
      </w:pPr>
      <w:r>
        <w:t xml:space="preserve">Among Pakistani-nationality respondents only (n = 37), the home–stress table remained 11/14 versus 3/23 (two-sided Fisher’s exact</w:t>
      </w:r>
      <w:r>
        <w:t xml:space="preserve"> </w:t>
      </w:r>
      <w:r>
        <w:rPr>
          <w:iCs/>
          <w:i/>
        </w:rPr>
        <w:t xml:space="preserve">p</w:t>
      </w:r>
      <w:r>
        <w:t xml:space="preserve"> </w:t>
      </w:r>
      <w:r>
        <w:t xml:space="preserve">= .00011) and speed × appraisal was ρ = .67 (percentile bootstrap 95% CI [.39, .85]).</w:t>
      </w:r>
    </w:p>
    <w:bookmarkEnd w:id="35"/>
    <w:bookmarkStart w:id="36" w:name="X97201ae18f9cce7e94bf1bc756e03fa139ac895"/>
    <w:p>
      <w:pPr>
        <w:pStyle w:val="Heading3"/>
      </w:pPr>
      <w:r>
        <w:t xml:space="preserve">4.4 Replacement judgement (secondary gender note)</w:t>
      </w:r>
    </w:p>
    <w:p>
      <w:pPr>
        <w:pStyle w:val="FirstParagraph"/>
      </w:pPr>
      <w:r>
        <w:t xml:space="preserve">Nineteen of 38 said online study could replace campus classes, and 19 said it could not. Among women, 9 of 11 said it could not; among men, 10 of 27 said so. With only 11 women, this is a cautious observation of perceived legitimacy in this sample. It is not a gender finding about Pakistani households and is not treated as a focal test (Appendix B).</w:t>
      </w:r>
    </w:p>
    <w:bookmarkEnd w:id="36"/>
    <w:bookmarkEnd w:id="37"/>
    <w:bookmarkStart w:id="38" w:name="discussion"/>
    <w:p>
      <w:pPr>
        <w:pStyle w:val="Heading2"/>
      </w:pPr>
      <w:r>
        <w:t xml:space="preserve">5. Discussion</w:t>
      </w:r>
    </w:p>
    <w:p>
      <w:pPr>
        <w:pStyle w:val="FirstParagraph"/>
      </w:pPr>
      <w:r>
        <w:t xml:space="preserve">The study set out to establish whether online Chinese teaching ran into a delivery problem in this sample. The answer is yes. Respondents commonly reported unstable networks, power interruptions, and uneven platform access. Those who said the home affected study</w:t>
      </w:r>
      <w:r>
        <w:t xml:space="preserve"> </w:t>
      </w:r>
      <w:r>
        <w:t xml:space="preserve">“</w:t>
      </w:r>
      <w:r>
        <w:t xml:space="preserve">very much</w:t>
      </w:r>
      <w:r>
        <w:t xml:space="preserve">”</w:t>
      </w:r>
      <w:r>
        <w:t xml:space="preserve"> </w:t>
      </w:r>
      <w:r>
        <w:t xml:space="preserve">more often selected</w:t>
      </w:r>
      <w:r>
        <w:t xml:space="preserve"> </w:t>
      </w:r>
      <w:r>
        <w:t xml:space="preserve">“</w:t>
      </w:r>
      <w:r>
        <w:t xml:space="preserve">very high stress,</w:t>
      </w:r>
      <w:r>
        <w:t xml:space="preserve">”</w:t>
      </w:r>
      <w:r>
        <w:t xml:space="preserve"> </w:t>
      </w:r>
      <w:r>
        <w:t xml:space="preserve">and worse reported internet speed was associated with a more negative appraisal of online learning. The questionnaire does not show how institutions adapted. What it does show is the learner-side conditions that would have pressed on any travelling Chinese-language course. Localisation of content and materials would still have been necessary (Lu et al., 2024; Zhao, 2020). It would not, by itself, have answered a synchronous session on an unstable connection, or a required application that respondents marked unusable in their country.</w:t>
      </w:r>
    </w:p>
    <w:p>
      <w:pPr>
        <w:pStyle w:val="BodyText"/>
      </w:pPr>
      <w:r>
        <w:t xml:space="preserve">Those conditions belong to the culture of the class in a narrow, ecological sense: the immediate setting in which language work was asked to happen (van Lier, 2004). They are not a claim about Pakistani culture, nor about a national educational system. Most respondents selected Pakistani nationality, and that is the only Pakistan connection the dataset can support.</w:t>
      </w:r>
    </w:p>
    <w:p>
      <w:pPr>
        <w:pStyle w:val="BodyText"/>
      </w:pPr>
      <w:r>
        <w:t xml:space="preserve">The platform pattern is best read as a possible geography of delivery. Applications often used in Chinese-university teaching (QQ, Chaoxing, DingTalk, 中国慕课) were frequently marked unusable, while Zoom and WhatsApp were more often marked available. The questionnaire cannot say whether that pattern reflects country restrictions, routing, account rules, skills, or virtual private networks. It can say that a travelling course which assumes a single institutional toolkit may ask learners to enter a class they cannot reliably open.</w:t>
      </w:r>
    </w:p>
    <w:p>
      <w:pPr>
        <w:pStyle w:val="BodyText"/>
      </w:pPr>
      <w:r>
        <w:t xml:space="preserve">Participation in this dataset co-occurred with reported platform access, power and connectivity problems, and a home that many described as not quiet. That is a description of domestic participation conditions, not a claim that inequality is</w:t>
      </w:r>
      <w:r>
        <w:t xml:space="preserve"> </w:t>
      </w:r>
      <w:r>
        <w:t xml:space="preserve">“</w:t>
      </w:r>
      <w:r>
        <w:t xml:space="preserve">cultural.</w:t>
      </w:r>
      <w:r>
        <w:t xml:space="preserve">”</w:t>
      </w:r>
    </w:p>
    <w:bookmarkEnd w:id="38"/>
    <w:bookmarkStart w:id="39" w:name="implications-for-online-chinese-teaching"/>
    <w:p>
      <w:pPr>
        <w:pStyle w:val="Heading2"/>
      </w:pPr>
      <w:r>
        <w:t xml:space="preserve">6. Implications for online Chinese teaching</w:t>
      </w:r>
    </w:p>
    <w:p>
      <w:pPr>
        <w:pStyle w:val="FirstParagraph"/>
      </w:pPr>
      <w:r>
        <w:t xml:space="preserve">If the problem of online Chinese teaching is also a delivery problem, course design has to treat time, platform, participation mode, task, and assessment as teaching decisions rather than as technical afterthoughts. The present findings can support only cautious, sample-bound suggestions: shorter or asynchronous oral alternatives; assessment that does not assume a quiet campus hour; and a required platform that respondents can actually open. WhatsApp was marked available here, but it was not recorded as used for class, so the data do not recommend it as a replacement. Nor do they show that later hybrid ICLE has repeated this pattern. They do suggest that hybrid models</w:t>
      </w:r>
      <w:r>
        <w:t xml:space="preserve"> </w:t>
      </w:r>
      <w:r>
        <w:rPr>
          <w:iCs/>
          <w:i/>
        </w:rPr>
        <w:t xml:space="preserve">may</w:t>
      </w:r>
      <w:r>
        <w:t xml:space="preserve"> </w:t>
      </w:r>
      <w:r>
        <w:t xml:space="preserve">reproduce a similar mismatch if the delivery assumptions of a travelling course are left unexamined (Stockwell &amp; Wang, 2023).</w:t>
      </w:r>
    </w:p>
    <w:bookmarkEnd w:id="39"/>
    <w:bookmarkStart w:id="40" w:name="limitations"/>
    <w:p>
      <w:pPr>
        <w:pStyle w:val="Heading2"/>
      </w:pPr>
      <w:r>
        <w:t xml:space="preserve">7. Limitations</w:t>
      </w:r>
    </w:p>
    <w:p>
      <w:pPr>
        <w:pStyle w:val="FirstParagraph"/>
      </w:pPr>
      <w:r>
        <w:t xml:space="preserve">The sample is small (N = 38), network-recruited, and majority male. Recruitment channel, host university, programme type, and place of residence that week were not recorded, so Chinese-university enrolment is not independently verified. IP metadata are not a location measure. All outcomes are self-report. The appraisal index is descriptive, not a validated scale, and the infrastructure-problem count is an unvalidated post hoc indicator. The form did not measure institutional adaptation, so localisation of delivery remains a conceptual reading of student-side conditions. The data are from February 2022 and concern emergency remote teaching; they are not evidence about current hybrid education. No ethics-committee number is available for the 2022 collection (Section 3.5).</w:t>
      </w:r>
    </w:p>
    <w:bookmarkEnd w:id="40"/>
    <w:bookmarkStart w:id="41" w:name="conclusion"/>
    <w:p>
      <w:pPr>
        <w:pStyle w:val="Heading2"/>
      </w:pPr>
      <w:r>
        <w:t xml:space="preserve">8. Conclusion</w:t>
      </w:r>
    </w:p>
    <w:p>
      <w:pPr>
        <w:pStyle w:val="FirstParagraph"/>
      </w:pPr>
      <w:r>
        <w:t xml:space="preserve">This article asked whether online Chinese teaching can fail as delivery even when the content of the course remains appropriate. In this sample the answer is that it can. Respondents reporting online Chinese-language courses also reported household infrastructure problems and uneven platform access. Those conditions co-occurred with selecting</w:t>
      </w:r>
      <w:r>
        <w:t xml:space="preserve"> </w:t>
      </w:r>
      <w:r>
        <w:t xml:space="preserve">“</w:t>
      </w:r>
      <w:r>
        <w:t xml:space="preserve">very high stress</w:t>
      </w:r>
      <w:r>
        <w:t xml:space="preserve">”</w:t>
      </w:r>
      <w:r>
        <w:t xml:space="preserve"> </w:t>
      </w:r>
      <w:r>
        <w:t xml:space="preserve">and with more negative appraisals of online learning. The contribution is therefore both conceptual and empirical: later work on online language teaching and online ICLE supplies the lenses,</w:t>
      </w:r>
      <w:r>
        <w:t xml:space="preserve"> </w:t>
      </w:r>
      <w:r>
        <w:rPr>
          <w:iCs/>
          <w:i/>
        </w:rPr>
        <w:t xml:space="preserve">localisation of delivery</w:t>
      </w:r>
      <w:r>
        <w:t xml:space="preserve"> </w:t>
      </w:r>
      <w:r>
        <w:t xml:space="preserve">names the work that online Chinese teaching still has to do after content and materials have been adapted, and the questionnaire identifies learner-side conditions that such teaching would need to address. That answer is bounded by N = 38 and by data collected during emergency remote teaching (Section 3.1). Whether later hybrid arrangements have closed the gap is a question this study cannot answer. The problem it can settle, for this sample, is the more basic one: online Chinese teaching is not only a content problem. It is also a delivery problem.</w:t>
      </w:r>
    </w:p>
    <w:bookmarkEnd w:id="41"/>
    <w:bookmarkStart w:id="42" w:name="appendix-a.-appraisal-items-and-coding"/>
    <w:p>
      <w:pPr>
        <w:pStyle w:val="Heading2"/>
      </w:pPr>
      <w:r>
        <w:t xml:space="preserve">Appendix A. Appraisal items and coding</w:t>
      </w:r>
    </w:p>
    <w:p>
      <w:pPr>
        <w:pStyle w:val="FirstParagraph"/>
      </w:pPr>
      <w:r>
        <w:t xml:space="preserve">English glosses of the Chinese stems.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Stem (gloss)</w:t>
            </w:r>
          </w:p>
        </w:tc>
        <w:tc>
          <w:tcPr/>
          <w:p>
            <w:pPr>
              <w:pStyle w:val="Compact"/>
              <w:jc w:val="left"/>
            </w:pPr>
            <w:r>
              <w:t xml:space="preserve">1</w:t>
            </w:r>
          </w:p>
        </w:tc>
        <w:tc>
          <w:tcPr/>
          <w:p>
            <w:pPr>
              <w:pStyle w:val="Compact"/>
              <w:jc w:val="left"/>
            </w:pPr>
            <w:r>
              <w:t xml:space="preserve">Higher</w:t>
            </w:r>
          </w:p>
        </w:tc>
      </w:tr>
      <w:tr>
        <w:tc>
          <w:tcPr/>
          <w:p>
            <w:pPr>
              <w:pStyle w:val="Compact"/>
              <w:jc w:val="left"/>
            </w:pPr>
            <w:r>
              <w:t xml:space="preserve">Learned (Q8)</w:t>
            </w:r>
          </w:p>
        </w:tc>
        <w:tc>
          <w:tcPr/>
          <w:p>
            <w:pPr>
              <w:pStyle w:val="Compact"/>
              <w:jc w:val="left"/>
            </w:pPr>
            <w:r>
              <w:t xml:space="preserve">Can you learn a lot in online class?</w:t>
            </w:r>
          </w:p>
        </w:tc>
        <w:tc>
          <w:tcPr/>
          <w:p>
            <w:pPr>
              <w:pStyle w:val="Compact"/>
              <w:jc w:val="left"/>
            </w:pPr>
            <w:r>
              <w:t xml:space="preserve">a lot</w:t>
            </w:r>
          </w:p>
        </w:tc>
        <w:tc>
          <w:tcPr/>
          <w:p>
            <w:pPr>
              <w:pStyle w:val="Compact"/>
              <w:jc w:val="left"/>
            </w:pPr>
            <w:r>
              <w:t xml:space="preserve">worse appraisal</w:t>
            </w:r>
          </w:p>
        </w:tc>
      </w:tr>
      <w:tr>
        <w:tc>
          <w:tcPr/>
          <w:p>
            <w:pPr>
              <w:pStyle w:val="Compact"/>
              <w:jc w:val="left"/>
            </w:pPr>
            <w:r>
              <w:t xml:space="preserve">Improve (Q9)</w:t>
            </w:r>
          </w:p>
        </w:tc>
        <w:tc>
          <w:tcPr/>
          <w:p>
            <w:pPr>
              <w:pStyle w:val="Compact"/>
              <w:jc w:val="left"/>
            </w:pPr>
            <w:r>
              <w:t xml:space="preserve">Can online study improve Chinese?</w:t>
            </w:r>
          </w:p>
        </w:tc>
        <w:tc>
          <w:tcPr/>
          <w:p>
            <w:pPr>
              <w:pStyle w:val="Compact"/>
              <w:jc w:val="left"/>
            </w:pPr>
            <w:r>
              <w:t xml:space="preserve">very much</w:t>
            </w:r>
          </w:p>
        </w:tc>
        <w:tc>
          <w:tcPr/>
          <w:p>
            <w:pPr>
              <w:pStyle w:val="Compact"/>
              <w:jc w:val="left"/>
            </w:pPr>
            <w:r>
              <w:t xml:space="preserve">worse appraisal</w:t>
            </w:r>
          </w:p>
        </w:tc>
      </w:tr>
      <w:tr>
        <w:tc>
          <w:tcPr/>
          <w:p>
            <w:pPr>
              <w:pStyle w:val="Compact"/>
              <w:jc w:val="left"/>
            </w:pPr>
            <w:r>
              <w:t xml:space="preserve">Interest (Q10)</w:t>
            </w:r>
          </w:p>
        </w:tc>
        <w:tc>
          <w:tcPr/>
          <w:p>
            <w:pPr>
              <w:pStyle w:val="Compact"/>
              <w:jc w:val="left"/>
            </w:pPr>
            <w:r>
              <w:t xml:space="preserve">Does it spark learning interest?</w:t>
            </w:r>
          </w:p>
        </w:tc>
        <w:tc>
          <w:tcPr/>
          <w:p>
            <w:pPr>
              <w:pStyle w:val="Compact"/>
              <w:jc w:val="left"/>
            </w:pPr>
            <w:r>
              <w:t xml:space="preserve">very much</w:t>
            </w:r>
          </w:p>
        </w:tc>
        <w:tc>
          <w:tcPr/>
          <w:p>
            <w:pPr>
              <w:pStyle w:val="Compact"/>
              <w:jc w:val="left"/>
            </w:pPr>
            <w:r>
              <w:t xml:space="preserve">worse appraisal</w:t>
            </w:r>
          </w:p>
        </w:tc>
      </w:tr>
      <w:tr>
        <w:tc>
          <w:tcPr/>
          <w:p>
            <w:pPr>
              <w:pStyle w:val="Compact"/>
              <w:jc w:val="left"/>
            </w:pPr>
            <w:r>
              <w:t xml:space="preserve">Speed (Q14)</w:t>
            </w:r>
          </w:p>
        </w:tc>
        <w:tc>
          <w:tcPr/>
          <w:p>
            <w:pPr>
              <w:pStyle w:val="Compact"/>
              <w:jc w:val="left"/>
            </w:pPr>
            <w:r>
              <w:t xml:space="preserve">Internet speed</w:t>
            </w:r>
          </w:p>
        </w:tc>
        <w:tc>
          <w:tcPr/>
          <w:p>
            <w:pPr>
              <w:pStyle w:val="Compact"/>
              <w:jc w:val="left"/>
            </w:pPr>
            <w:r>
              <w:t xml:space="preserve">very good</w:t>
            </w:r>
          </w:p>
        </w:tc>
        <w:tc>
          <w:tcPr/>
          <w:p>
            <w:pPr>
              <w:pStyle w:val="Compact"/>
              <w:jc w:val="left"/>
            </w:pPr>
            <w:r>
              <w:t xml:space="preserve">worse speed</w:t>
            </w:r>
          </w:p>
        </w:tc>
      </w:tr>
      <w:tr>
        <w:tc>
          <w:tcPr/>
          <w:p>
            <w:pPr>
              <w:pStyle w:val="Compact"/>
              <w:jc w:val="left"/>
            </w:pPr>
            <w:r>
              <w:t xml:space="preserve">Stress (Q24)</w:t>
            </w:r>
          </w:p>
        </w:tc>
        <w:tc>
          <w:tcPr/>
          <w:p>
            <w:pPr>
              <w:pStyle w:val="Compact"/>
              <w:jc w:val="left"/>
            </w:pPr>
            <w:r>
              <w:t xml:space="preserve">Psychological stress</w:t>
            </w:r>
          </w:p>
        </w:tc>
        <w:tc>
          <w:tcPr/>
          <w:p>
            <w:pPr>
              <w:pStyle w:val="Compact"/>
              <w:jc w:val="left"/>
            </w:pPr>
            <w:r>
              <w:t xml:space="preserve">very high</w:t>
            </w:r>
          </w:p>
        </w:tc>
        <w:tc>
          <w:tcPr/>
          <w:p>
            <w:pPr>
              <w:pStyle w:val="Compact"/>
              <w:jc w:val="left"/>
            </w:pPr>
            <w:r>
              <w:t xml:space="preserve">less stress</w:t>
            </w:r>
          </w:p>
        </w:tc>
      </w:tr>
      <w:tr>
        <w:tc>
          <w:tcPr/>
          <w:p>
            <w:pPr>
              <w:pStyle w:val="Compact"/>
              <w:jc w:val="left"/>
            </w:pPr>
            <w:r>
              <w:t xml:space="preserve">Interaction (Q25)</w:t>
            </w:r>
          </w:p>
        </w:tc>
        <w:tc>
          <w:tcPr/>
          <w:p>
            <w:pPr>
              <w:pStyle w:val="Compact"/>
              <w:jc w:val="left"/>
            </w:pPr>
            <w:r>
              <w:t xml:space="preserve">Active interaction with teacher</w:t>
            </w:r>
          </w:p>
        </w:tc>
        <w:tc>
          <w:tcPr/>
          <w:p>
            <w:pPr>
              <w:pStyle w:val="Compact"/>
              <w:jc w:val="left"/>
            </w:pPr>
            <w:r>
              <w:t xml:space="preserve">very much</w:t>
            </w:r>
          </w:p>
        </w:tc>
        <w:tc>
          <w:tcPr/>
          <w:p>
            <w:pPr>
              <w:pStyle w:val="Compact"/>
              <w:jc w:val="left"/>
            </w:pPr>
            <w:r>
              <w:t xml:space="preserve">thinner interaction</w:t>
            </w:r>
          </w:p>
        </w:tc>
      </w:tr>
    </w:tbl>
    <w:p>
      <w:pPr>
        <w:pStyle w:val="BodyText"/>
      </w:pPr>
      <w:r>
        <w:t xml:space="preserve">Index = mean of Q8, Q9, and Q10 (n = 38; no missing on these three).</w:t>
      </w:r>
    </w:p>
    <w:bookmarkEnd w:id="42"/>
    <w:bookmarkStart w:id="43" w:name="appendix-b.-secondary-statistics"/>
    <w:p>
      <w:pPr>
        <w:pStyle w:val="Heading2"/>
      </w:pPr>
      <w:r>
        <w:t xml:space="preserve">Appendix B. Secondary statistics</w:t>
      </w:r>
    </w:p>
    <w:p>
      <w:pPr>
        <w:pStyle w:val="FirstParagraph"/>
      </w:pPr>
      <w:r>
        <w:t xml:space="preserve">See</w:t>
      </w:r>
      <w:r>
        <w:t xml:space="preserve"> </w:t>
      </w:r>
      <w:r>
        <w:rPr>
          <w:rStyle w:val="VerbatimChar"/>
        </w:rPr>
        <w:t xml:space="preserve">analysis/supplementary_stats.md</w:t>
      </w:r>
      <w:r>
        <w:t xml:space="preserve"> </w:t>
      </w:r>
      <w:r>
        <w:t xml:space="preserve">for full tables. Summary: female × cannot-replace and learned-little × cannot-replace have identical cell counts (9/11 vs 10/27; Fisher’s exact</w:t>
      </w:r>
      <w:r>
        <w:t xml:space="preserve"> </w:t>
      </w:r>
      <w:r>
        <w:rPr>
          <w:iCs/>
          <w:i/>
        </w:rPr>
        <w:t xml:space="preserve">p</w:t>
      </w:r>
      <w:r>
        <w:t xml:space="preserve"> </w:t>
      </w:r>
      <w:r>
        <w:t xml:space="preserve">= .029). Poor internet × cannot-replace: 8/10 vs 11/28, Fisher’s exact</w:t>
      </w:r>
      <w:r>
        <w:t xml:space="preserve"> </w:t>
      </w:r>
      <w:r>
        <w:rPr>
          <w:iCs/>
          <w:i/>
        </w:rPr>
        <w:t xml:space="preserve">p</w:t>
      </w:r>
      <w:r>
        <w:t xml:space="preserve"> </w:t>
      </w:r>
      <w:r>
        <w:t xml:space="preserve">= .062. Mann–Whitney tests by gender on ordinals all had</w:t>
      </w:r>
      <w:r>
        <w:t xml:space="preserve"> </w:t>
      </w:r>
      <w:r>
        <w:rPr>
          <w:iCs/>
          <w:i/>
        </w:rPr>
        <w:t xml:space="preserve">p</w:t>
      </w:r>
      <w:r>
        <w:t xml:space="preserve"> </w:t>
      </w:r>
      <w:r>
        <w:t xml:space="preserve">≥ .36.</w:t>
      </w:r>
    </w:p>
    <w:bookmarkEnd w:id="43"/>
    <w:bookmarkStart w:id="44" w:name="references"/>
    <w:p>
      <w:pPr>
        <w:pStyle w:val="Heading2"/>
      </w:pPr>
      <w:r>
        <w:t xml:space="preserve">References</w:t>
      </w:r>
    </w:p>
    <w:p>
      <w:pPr>
        <w:pStyle w:val="FirstParagraph"/>
      </w:pPr>
      <w:r>
        <w:t xml:space="preserve">Ali, W. (2020). Online and remote learning in higher education institutes: A necessity in light of COVID-19 pandemic.</w:t>
      </w:r>
      <w:r>
        <w:t xml:space="preserve"> </w:t>
      </w:r>
      <w:r>
        <w:rPr>
          <w:iCs/>
          <w:i/>
        </w:rPr>
        <w:t xml:space="preserve">Higher Education Studies, 10</w:t>
      </w:r>
      <w:r>
        <w:t xml:space="preserve">(3), 16-25. https://doi.org/10.5539/hes.v10n3p16</w:t>
      </w:r>
    </w:p>
    <w:p>
      <w:pPr>
        <w:pStyle w:val="BodyText"/>
      </w:pPr>
      <w:r>
        <w:t xml:space="preserve">Canagarajah, A. S. (Ed.). (2005).</w:t>
      </w:r>
      <w:r>
        <w:t xml:space="preserve"> </w:t>
      </w:r>
      <w:r>
        <w:rPr>
          <w:iCs/>
          <w:i/>
        </w:rPr>
        <w:t xml:space="preserve">Reclaiming the local in language policy and practice</w:t>
      </w:r>
      <w:r>
        <w:t xml:space="preserve">. Lawrence Erlbaum.</w:t>
      </w:r>
    </w:p>
    <w:p>
      <w:pPr>
        <w:pStyle w:val="BodyText"/>
      </w:pPr>
      <w:r>
        <w:t xml:space="preserve">Gacs, A., Goertler, S., &amp; Spasova, S. (2020). Planned online language education versus crisis-prompted online language teaching: Lessons for the future.</w:t>
      </w:r>
      <w:r>
        <w:t xml:space="preserve"> </w:t>
      </w:r>
      <w:r>
        <w:rPr>
          <w:iCs/>
          <w:i/>
        </w:rPr>
        <w:t xml:space="preserve">Foreign Language Annals, 53</w:t>
      </w:r>
      <w:r>
        <w:t xml:space="preserve">(2), 380-392. https://doi.org/10.1111/flan.12460</w:t>
      </w:r>
    </w:p>
    <w:p>
      <w:pPr>
        <w:pStyle w:val="BodyText"/>
      </w:pPr>
      <w:r>
        <w:t xml:space="preserve">Gao, X., &amp; Hua, Z. (2021). Experiencing Chinese education: Learning of language and culture by international students in Chinese universities.</w:t>
      </w:r>
      <w:r>
        <w:t xml:space="preserve"> </w:t>
      </w:r>
      <w:r>
        <w:rPr>
          <w:iCs/>
          <w:i/>
        </w:rPr>
        <w:t xml:space="preserve">Language, Culture and Curriculum, 34</w:t>
      </w:r>
      <w:r>
        <w:t xml:space="preserve">(4), 353-359. https://doi.org/10.1080/07908318.2020.1871002</w:t>
      </w:r>
    </w:p>
    <w:p>
      <w:pPr>
        <w:pStyle w:val="BodyText"/>
      </w:pPr>
      <w:r>
        <w:t xml:space="preserve">Gong, Y., Gao, X., Li, M., &amp; Lai, C. (2020a). Cultural adaptation challenges and strategies during study abroad: New Zealand students in China.</w:t>
      </w:r>
      <w:r>
        <w:t xml:space="preserve"> </w:t>
      </w:r>
      <w:r>
        <w:rPr>
          <w:iCs/>
          <w:i/>
        </w:rPr>
        <w:t xml:space="preserve">Language, Culture and Curriculum, 34</w:t>
      </w:r>
      <w:r>
        <w:t xml:space="preserve">(4), 417-437. https://doi.org/10.1080/07908318.2020.1856129</w:t>
      </w:r>
    </w:p>
    <w:p>
      <w:pPr>
        <w:pStyle w:val="BodyText"/>
      </w:pPr>
      <w:r>
        <w:t xml:space="preserve">Gong, Y., Gao, X., &amp; Lyu, B. (2020b). Teaching Chinese as a second or foreign language to non-Chinese learners in mainland China (2014-2018).</w:t>
      </w:r>
      <w:r>
        <w:t xml:space="preserve"> </w:t>
      </w:r>
      <w:r>
        <w:rPr>
          <w:iCs/>
          <w:i/>
        </w:rPr>
        <w:t xml:space="preserve">Language Teaching, 53</w:t>
      </w:r>
      <w:r>
        <w:t xml:space="preserve">(1), 44-62. https://doi.org/10.1017/S0261444819000387</w:t>
      </w:r>
    </w:p>
    <w:p>
      <w:pPr>
        <w:pStyle w:val="BodyText"/>
      </w:pPr>
      <w:r>
        <w:t xml:space="preserve">Guenier, A. W., Xing, M., &amp; Yan, J. (2026). From barriers to breakthroughs: Communicating Chinese culture to Irish learners with a multimodality online course.</w:t>
      </w:r>
      <w:r>
        <w:t xml:space="preserve"> </w:t>
      </w:r>
      <w:r>
        <w:rPr>
          <w:iCs/>
          <w:i/>
        </w:rPr>
        <w:t xml:space="preserve">Language, Culture and Curriculum</w:t>
      </w:r>
      <w:r>
        <w:t xml:space="preserve">. Advance online publication. https://doi.org/10.1080/07908318.2026.2626775</w:t>
      </w:r>
    </w:p>
    <w:p>
      <w:pPr>
        <w:pStyle w:val="BodyText"/>
      </w:pPr>
      <w:r>
        <w:t xml:space="preserve">Guerrettaz, A. M., Engman, M. M., &amp; Matsumoto, Y. (2021). Empirically defining language learning and teaching materials in use through sociomaterial perspectives.</w:t>
      </w:r>
      <w:r>
        <w:t xml:space="preserve"> </w:t>
      </w:r>
      <w:r>
        <w:rPr>
          <w:iCs/>
          <w:i/>
        </w:rPr>
        <w:t xml:space="preserve">The Modern Language Journal, 105</w:t>
      </w:r>
      <w:r>
        <w:t xml:space="preserve">(S1), 3-20. https://doi.org/10.1111/modl.12691</w:t>
      </w:r>
    </w:p>
    <w:p>
      <w:pPr>
        <w:pStyle w:val="BodyText"/>
      </w:pPr>
      <w:r>
        <w:t xml:space="preserve">Helsper, E. (2021).</w:t>
      </w:r>
      <w:r>
        <w:t xml:space="preserve"> </w:t>
      </w:r>
      <w:r>
        <w:rPr>
          <w:iCs/>
          <w:i/>
        </w:rPr>
        <w:t xml:space="preserve">The digital disconnect: The social causes and consequences of digital inequalities</w:t>
      </w:r>
      <w:r>
        <w:t xml:space="preserve">. SAGE.</w:t>
      </w:r>
    </w:p>
    <w:p>
      <w:pPr>
        <w:pStyle w:val="BodyText"/>
      </w:pPr>
      <w:r>
        <w:t xml:space="preserve">Hodges, C., Moore, S., Lockee, B., Trust, T., &amp; Bond, A. (2020). The difference between emergency remote teaching and online learning.</w:t>
      </w:r>
      <w:r>
        <w:t xml:space="preserve"> </w:t>
      </w:r>
      <w:r>
        <w:rPr>
          <w:iCs/>
          <w:i/>
        </w:rPr>
        <w:t xml:space="preserve">EDUCAUSE Review</w:t>
      </w:r>
      <w:r>
        <w:t xml:space="preserve">. https://er.educause.edu/articles/2020/3/the-difference-between-emergency-remote-teaching-and-online-learning</w:t>
      </w:r>
    </w:p>
    <w:p>
      <w:pPr>
        <w:pStyle w:val="BodyText"/>
      </w:pPr>
      <w:r>
        <w:t xml:space="preserve">Jamil, S., &amp; Muschert, G. (2023). The COVID-19 pandemic and e-learning: The digital divide and educational crises in Pakistan’s universities.</w:t>
      </w:r>
      <w:r>
        <w:t xml:space="preserve"> </w:t>
      </w:r>
      <w:r>
        <w:rPr>
          <w:iCs/>
          <w:i/>
        </w:rPr>
        <w:t xml:space="preserve">American Behavioral Scientist, 68</w:t>
      </w:r>
      <w:r>
        <w:t xml:space="preserve">(9), 1161-1179. https://doi.org/10.1177/00027642231156779</w:t>
      </w:r>
    </w:p>
    <w:p>
      <w:pPr>
        <w:pStyle w:val="BodyText"/>
      </w:pPr>
      <w:r>
        <w:t xml:space="preserve">Kumaravadivelu, B. (2001). Toward a postmethod pedagogy.</w:t>
      </w:r>
      <w:r>
        <w:t xml:space="preserve"> </w:t>
      </w:r>
      <w:r>
        <w:rPr>
          <w:iCs/>
          <w:i/>
        </w:rPr>
        <w:t xml:space="preserve">TESOL Quarterly, 35</w:t>
      </w:r>
      <w:r>
        <w:t xml:space="preserve">(4), 537-560. https://doi.org/10.2307/3588427</w:t>
      </w:r>
    </w:p>
    <w:p>
      <w:pPr>
        <w:pStyle w:val="BodyText"/>
      </w:pPr>
      <w:r>
        <w:t xml:space="preserve">Lam, K. Y. (2024). At the intersection of multiliteracies and glocalisation: A case study in a university in Taiwan.</w:t>
      </w:r>
      <w:r>
        <w:t xml:space="preserve"> </w:t>
      </w:r>
      <w:r>
        <w:rPr>
          <w:iCs/>
          <w:i/>
        </w:rPr>
        <w:t xml:space="preserve">Language, Culture and Curriculum, 37</w:t>
      </w:r>
      <w:r>
        <w:t xml:space="preserve">(4), 472-496. https://doi.org/10.1080/07908318.2024.2354874</w:t>
      </w:r>
    </w:p>
    <w:p>
      <w:pPr>
        <w:pStyle w:val="BodyText"/>
      </w:pPr>
      <w:r>
        <w:t xml:space="preserve">Li, J., &amp; Li, C. (2024). A scoping review of the research on the teaching models of online international Chinese language teaching.</w:t>
      </w:r>
      <w:r>
        <w:t xml:space="preserve"> </w:t>
      </w:r>
      <w:r>
        <w:rPr>
          <w:iCs/>
          <w:i/>
        </w:rPr>
        <w:t xml:space="preserve">Journal of Education and Learning, 13</w:t>
      </w:r>
      <w:r>
        <w:t xml:space="preserve">(4), Article 255. https://doi.org/10.5539/jel.v13n4p255</w:t>
      </w:r>
    </w:p>
    <w:p>
      <w:pPr>
        <w:pStyle w:val="BodyText"/>
      </w:pPr>
      <w:r>
        <w:t xml:space="preserve">Lu, X., Tan, A., Ma, Y., Feng, H., &amp; Hanif, B. (2024). Scenario analysis of localization and adaptation of Chinese language teaching.</w:t>
      </w:r>
      <w:r>
        <w:t xml:space="preserve"> </w:t>
      </w:r>
      <w:r>
        <w:rPr>
          <w:iCs/>
          <w:i/>
        </w:rPr>
        <w:t xml:space="preserve">Pakistan Journal of Humanities and Social Sciences, 12</w:t>
      </w:r>
      <w:r>
        <w:t xml:space="preserve">(4), 3257-3281. https://doi.org/10.52131/pjhss.2024.v12i4.2553</w:t>
      </w:r>
    </w:p>
    <w:p>
      <w:pPr>
        <w:pStyle w:val="BodyText"/>
      </w:pPr>
      <w:r>
        <w:t xml:space="preserve">Ma, X., Gong, Y., Gao, X., &amp; Xiang, Y. (2017). The teaching of Chinese as a second or foreign language: A systematic review of the literature 2005-2015.</w:t>
      </w:r>
      <w:r>
        <w:t xml:space="preserve"> </w:t>
      </w:r>
      <w:r>
        <w:rPr>
          <w:iCs/>
          <w:i/>
        </w:rPr>
        <w:t xml:space="preserve">Journal of Multilingual and Multicultural Development, 38</w:t>
      </w:r>
      <w:r>
        <w:t xml:space="preserve">(9), 815-830. https://doi.org/10.1080/01434632.2016.1268146</w:t>
      </w:r>
    </w:p>
    <w:p>
      <w:pPr>
        <w:pStyle w:val="BodyText"/>
      </w:pPr>
      <w:r>
        <w:t xml:space="preserve">MacIntyre, P. D., Gregersen, T., &amp; Mercer, S. (2020). Language teachers’ coping strategies during the Covid-19 conversion to online teaching: Correlations with stress, wellbeing and negative emotions.</w:t>
      </w:r>
      <w:r>
        <w:t xml:space="preserve"> </w:t>
      </w:r>
      <w:r>
        <w:rPr>
          <w:iCs/>
          <w:i/>
        </w:rPr>
        <w:t xml:space="preserve">System, 94</w:t>
      </w:r>
      <w:r>
        <w:t xml:space="preserve">, Article 102352. https://doi.org/10.1016/j.system.2020.102352</w:t>
      </w:r>
    </w:p>
    <w:p>
      <w:pPr>
        <w:pStyle w:val="BodyText"/>
      </w:pPr>
      <w:r>
        <w:t xml:space="preserve">McDonough, J., &amp; Shaw, C. (2003).</w:t>
      </w:r>
      <w:r>
        <w:t xml:space="preserve"> </w:t>
      </w:r>
      <w:r>
        <w:rPr>
          <w:iCs/>
          <w:i/>
        </w:rPr>
        <w:t xml:space="preserve">Materials and methods in ELT: A teacher’s guide</w:t>
      </w:r>
      <w:r>
        <w:t xml:space="preserve"> </w:t>
      </w:r>
      <w:r>
        <w:t xml:space="preserve">(2nd ed.). Blackwell.</w:t>
      </w:r>
    </w:p>
    <w:p>
      <w:pPr>
        <w:pStyle w:val="BodyText"/>
      </w:pPr>
      <w:r>
        <w:t xml:space="preserve">Moorhouse, B. L. (2023). Teachers’ digital technology use after a period of online teaching.</w:t>
      </w:r>
      <w:r>
        <w:t xml:space="preserve"> </w:t>
      </w:r>
      <w:r>
        <w:rPr>
          <w:iCs/>
          <w:i/>
        </w:rPr>
        <w:t xml:space="preserve">ELT Journal, 77</w:t>
      </w:r>
      <w:r>
        <w:t xml:space="preserve">(4), 445-457. https://doi.org/10.1093/elt/ccac050</w:t>
      </w:r>
    </w:p>
    <w:p>
      <w:pPr>
        <w:pStyle w:val="BodyText"/>
      </w:pPr>
      <w:r>
        <w:t xml:space="preserve">Moorhouse, B. L., &amp; Kohnke, L. (2021). Responses of the English-language-teaching community to the COVID-19 pandemic.</w:t>
      </w:r>
      <w:r>
        <w:t xml:space="preserve"> </w:t>
      </w:r>
      <w:r>
        <w:rPr>
          <w:iCs/>
          <w:i/>
        </w:rPr>
        <w:t xml:space="preserve">RELC Journal, 52</w:t>
      </w:r>
      <w:r>
        <w:t xml:space="preserve">(3), 359-378. https://doi.org/10.1177/00336882211053052</w:t>
      </w:r>
    </w:p>
    <w:p>
      <w:pPr>
        <w:pStyle w:val="BodyText"/>
      </w:pPr>
      <w:r>
        <w:t xml:space="preserve">Moorhouse, B. L., Wong, K. M., &amp; Li, L. (2023). Teaching with technology in the post-pandemic digital age: Technological normalisation and AI-induced disruptions.</w:t>
      </w:r>
      <w:r>
        <w:t xml:space="preserve"> </w:t>
      </w:r>
      <w:r>
        <w:rPr>
          <w:iCs/>
          <w:i/>
        </w:rPr>
        <w:t xml:space="preserve">RELC Journal, 54</w:t>
      </w:r>
      <w:r>
        <w:t xml:space="preserve">(2), 311-320. https://doi.org/10.1177/00336882231176929</w:t>
      </w:r>
    </w:p>
    <w:p>
      <w:pPr>
        <w:pStyle w:val="BodyText"/>
      </w:pPr>
      <w:r>
        <w:t xml:space="preserve">Moser, K. M., Wei, T., &amp; Brenner, D. (2021). Remote teaching during COVID-19: Implications from a national survey of language educators.</w:t>
      </w:r>
      <w:r>
        <w:t xml:space="preserve"> </w:t>
      </w:r>
      <w:r>
        <w:rPr>
          <w:iCs/>
          <w:i/>
        </w:rPr>
        <w:t xml:space="preserve">System, 97</w:t>
      </w:r>
      <w:r>
        <w:t xml:space="preserve">, Article 102431. https://doi.org/10.1016/j.system.2020.102431</w:t>
      </w:r>
    </w:p>
    <w:p>
      <w:pPr>
        <w:pStyle w:val="BodyText"/>
      </w:pPr>
      <w:r>
        <w:t xml:space="preserve">Raza, O., &amp; Hennessy, S. (2025).</w:t>
      </w:r>
      <w:r>
        <w:t xml:space="preserve"> </w:t>
      </w:r>
      <w:r>
        <w:rPr>
          <w:iCs/>
          <w:i/>
        </w:rPr>
        <w:t xml:space="preserve">Exploring the gender differences in technology use for educational purposes at home among students in Pakistan</w:t>
      </w:r>
      <w:r>
        <w:t xml:space="preserve">. EdTech Hub. https://doi.org/10.53832/edtechhub.1099</w:t>
      </w:r>
    </w:p>
    <w:p>
      <w:pPr>
        <w:pStyle w:val="BodyText"/>
      </w:pPr>
      <w:r>
        <w:t xml:space="preserve">Shan, Z., &amp; Xu, H. (2024). Students’ conceptions and experiences of institutionalised curriculum for multilingual learning: The case of a dual-foreign-languages programme.</w:t>
      </w:r>
      <w:r>
        <w:t xml:space="preserve"> </w:t>
      </w:r>
      <w:r>
        <w:rPr>
          <w:iCs/>
          <w:i/>
        </w:rPr>
        <w:t xml:space="preserve">Language, Culture and Curriculum, 37</w:t>
      </w:r>
      <w:r>
        <w:t xml:space="preserve">(2), 230-246. https://doi.org/10.1080/07908318.2024.2313984</w:t>
      </w:r>
    </w:p>
    <w:p>
      <w:pPr>
        <w:pStyle w:val="BodyText"/>
      </w:pPr>
      <w:r>
        <w:t xml:space="preserve">Stockwell, G., &amp; Wang, Y. (2023). Exploring the challenges of technology in language teaching in the aftermath of the pandemic.</w:t>
      </w:r>
      <w:r>
        <w:t xml:space="preserve"> </w:t>
      </w:r>
      <w:r>
        <w:rPr>
          <w:iCs/>
          <w:i/>
        </w:rPr>
        <w:t xml:space="preserve">RELC Journal, 54</w:t>
      </w:r>
      <w:r>
        <w:t xml:space="preserve">(2), 474-482. https://doi.org/10.1177/00336882231168438</w:t>
      </w:r>
    </w:p>
    <w:p>
      <w:pPr>
        <w:pStyle w:val="BodyText"/>
      </w:pPr>
      <w:r>
        <w:t xml:space="preserve">Tao, J., &amp; Gao, X. (2022). Teaching and learning languages online: Challenges and responses.</w:t>
      </w:r>
      <w:r>
        <w:t xml:space="preserve"> </w:t>
      </w:r>
      <w:r>
        <w:rPr>
          <w:iCs/>
          <w:i/>
        </w:rPr>
        <w:t xml:space="preserve">System, 107</w:t>
      </w:r>
      <w:r>
        <w:t xml:space="preserve">, Article 102819. https://doi.org/10.1016/j.system.2022.102819</w:t>
      </w:r>
    </w:p>
    <w:p>
      <w:pPr>
        <w:pStyle w:val="BodyText"/>
      </w:pPr>
      <w:r>
        <w:t xml:space="preserve">Tomlinson, B. (Ed.). (2011).</w:t>
      </w:r>
      <w:r>
        <w:t xml:space="preserve"> </w:t>
      </w:r>
      <w:r>
        <w:rPr>
          <w:iCs/>
          <w:i/>
        </w:rPr>
        <w:t xml:space="preserve">Materials development in language teaching</w:t>
      </w:r>
      <w:r>
        <w:t xml:space="preserve"> </w:t>
      </w:r>
      <w:r>
        <w:t xml:space="preserve">(2nd ed.). Cambridge University Press.</w:t>
      </w:r>
    </w:p>
    <w:p>
      <w:pPr>
        <w:pStyle w:val="BodyText"/>
      </w:pPr>
      <w:r>
        <w:t xml:space="preserve">Tu, M. (2026). Time and precarity in</w:t>
      </w:r>
      <w:r>
        <w:t xml:space="preserve"> </w:t>
      </w:r>
      <w:r>
        <w:t xml:space="preserve">‘</w:t>
      </w:r>
      <w:r>
        <w:t xml:space="preserve">South–South</w:t>
      </w:r>
      <w:r>
        <w:t xml:space="preserve">’</w:t>
      </w:r>
      <w:r>
        <w:t xml:space="preserve"> </w:t>
      </w:r>
      <w:r>
        <w:t xml:space="preserve">academic mobility: A 2019–2023 longitudinal study of Pakistani PhD students and recent graduates in China.</w:t>
      </w:r>
      <w:r>
        <w:t xml:space="preserve"> </w:t>
      </w:r>
      <w:r>
        <w:rPr>
          <w:iCs/>
          <w:i/>
        </w:rPr>
        <w:t xml:space="preserve">Population, Space and Place, 32</w:t>
      </w:r>
      <w:r>
        <w:t xml:space="preserve">(2), Article e70227. https://doi.org/10.1002/psp.70227</w:t>
      </w:r>
    </w:p>
    <w:p>
      <w:pPr>
        <w:pStyle w:val="BodyText"/>
      </w:pPr>
      <w:r>
        <w:t xml:space="preserve">van Dijk, J. (2020).</w:t>
      </w:r>
      <w:r>
        <w:t xml:space="preserve"> </w:t>
      </w:r>
      <w:r>
        <w:rPr>
          <w:iCs/>
          <w:i/>
        </w:rPr>
        <w:t xml:space="preserve">The digital divide</w:t>
      </w:r>
      <w:r>
        <w:t xml:space="preserve">. Polity.</w:t>
      </w:r>
    </w:p>
    <w:p>
      <w:pPr>
        <w:pStyle w:val="BodyText"/>
      </w:pPr>
      <w:r>
        <w:t xml:space="preserve">van Lier, L. (2004).</w:t>
      </w:r>
      <w:r>
        <w:t xml:space="preserve"> </w:t>
      </w:r>
      <w:r>
        <w:rPr>
          <w:iCs/>
          <w:i/>
        </w:rPr>
        <w:t xml:space="preserve">The ecology and semiotics of language learning: A sociocultural perspective</w:t>
      </w:r>
      <w:r>
        <w:t xml:space="preserve">. Kluwer.</w:t>
      </w:r>
    </w:p>
    <w:p>
      <w:pPr>
        <w:pStyle w:val="BodyText"/>
      </w:pPr>
      <w:r>
        <w:t xml:space="preserve">Warschauer, M. (2003).</w:t>
      </w:r>
      <w:r>
        <w:t xml:space="preserve"> </w:t>
      </w:r>
      <w:r>
        <w:rPr>
          <w:iCs/>
          <w:i/>
        </w:rPr>
        <w:t xml:space="preserve">Technology and social inclusion: Rethinking the digital divide</w:t>
      </w:r>
      <w:r>
        <w:t xml:space="preserve">. MIT Press.</w:t>
      </w:r>
    </w:p>
    <w:p>
      <w:pPr>
        <w:pStyle w:val="BodyText"/>
      </w:pPr>
      <w:r>
        <w:t xml:space="preserve">Wen, X., &amp; Liu, F. (2025). Emotional dynamics of advanced Chinese as a second language learners: A Q methodology study.</w:t>
      </w:r>
      <w:r>
        <w:t xml:space="preserve"> </w:t>
      </w:r>
      <w:r>
        <w:rPr>
          <w:iCs/>
          <w:i/>
        </w:rPr>
        <w:t xml:space="preserve">Language, Culture and Curriculum, 38</w:t>
      </w:r>
      <w:r>
        <w:t xml:space="preserve">(3), 380-400. https://doi.org/10.1080/07908318.2025.2486449</w:t>
      </w:r>
    </w:p>
    <w:p>
      <w:pPr>
        <w:pStyle w:val="BodyText"/>
      </w:pPr>
      <w:r>
        <w:t xml:space="preserve">Xia, Y., Hu, Y., Wu, C., Yang, L., &amp; Lei, M. (2022). Challenges of online learning amid the COVID-19: College students’ perspective.</w:t>
      </w:r>
      <w:r>
        <w:t xml:space="preserve"> </w:t>
      </w:r>
      <w:r>
        <w:rPr>
          <w:iCs/>
          <w:i/>
        </w:rPr>
        <w:t xml:space="preserve">Frontiers in Psychology, 13</w:t>
      </w:r>
      <w:r>
        <w:t xml:space="preserve">, 1037311. https://doi.org/10.3389/fpsyg.2022.1037311</w:t>
      </w:r>
    </w:p>
    <w:p>
      <w:pPr>
        <w:pStyle w:val="BodyText"/>
      </w:pPr>
      <w:r>
        <w:t xml:space="preserve">Xu, Y., Jin, L., Deifell, E., &amp; Angus, K. (2022). Facilitating technology-based character learning in emergency remote teaching.</w:t>
      </w:r>
      <w:r>
        <w:t xml:space="preserve"> </w:t>
      </w:r>
      <w:r>
        <w:rPr>
          <w:iCs/>
          <w:i/>
        </w:rPr>
        <w:t xml:space="preserve">Foreign Language Annals, 55</w:t>
      </w:r>
      <w:r>
        <w:t xml:space="preserve">(1), 72-97. https://doi.org/10.1111/flan.12541</w:t>
      </w:r>
    </w:p>
    <w:p>
      <w:pPr>
        <w:pStyle w:val="BodyText"/>
      </w:pPr>
      <w:r>
        <w:t xml:space="preserve">Zhang, W., Wang, Y., Yang, L., &amp; Wang, C. (2020). Suspending classes without stopping learning: China’s education emergency management policy in the COVID-19 outbreak.</w:t>
      </w:r>
      <w:r>
        <w:t xml:space="preserve"> </w:t>
      </w:r>
      <w:r>
        <w:rPr>
          <w:iCs/>
          <w:i/>
        </w:rPr>
        <w:t xml:space="preserve">Journal of Risk and Financial Management, 13</w:t>
      </w:r>
      <w:r>
        <w:t xml:space="preserve">(3), 55. https://doi.org/10.3390/jrfm13030055</w:t>
      </w:r>
    </w:p>
    <w:p>
      <w:pPr>
        <w:pStyle w:val="BodyText"/>
      </w:pPr>
      <w:r>
        <w:t xml:space="preserve">Zhao, H., &amp; Huang, J. (2010). China’s policy of Chinese as a foreign language and the use of overseas Confucius Institutes.</w:t>
      </w:r>
      <w:r>
        <w:t xml:space="preserve"> </w:t>
      </w:r>
      <w:r>
        <w:rPr>
          <w:iCs/>
          <w:i/>
        </w:rPr>
        <w:t xml:space="preserve">Educational Research for Policy and Practice, 9</w:t>
      </w:r>
      <w:r>
        <w:t xml:space="preserve">(2), 127-142. https://doi.org/10.1007/s10671-009-9078-1</w:t>
      </w:r>
    </w:p>
    <w:p>
      <w:pPr>
        <w:pStyle w:val="BodyText"/>
      </w:pPr>
      <w:r>
        <w:t xml:space="preserve">Zhao, K. (2020). Localising Chinese language curriculum construction: A case study in an Australian primary school.</w:t>
      </w:r>
      <w:r>
        <w:t xml:space="preserve"> </w:t>
      </w:r>
      <w:r>
        <w:rPr>
          <w:iCs/>
          <w:i/>
        </w:rPr>
        <w:t xml:space="preserve">Global Chinese, 6</w:t>
      </w:r>
      <w:r>
        <w:t xml:space="preserve">(2), 263-288. https://doi.org/10.1515/glochi-2020-0014</w:t>
      </w:r>
    </w:p>
    <w:bookmarkEnd w:id="44"/>
    <w:bookmarkEnd w:id="45"/>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line="480" w:lineRule="auto"/>
    </w:pPr>
    <w:rPr>
      <w:rFonts w:ascii="Times New Roman" w:hAnsi="Times New Roman"/>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b/>
      <w:bCs/>
      <w:color w:val="00000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asciiTheme="majorHAnsi" w:cstheme="majorBidi" w:eastAsiaTheme="majorEastAsia" w:hAnsi="Times New Roman" w:hAnsiTheme="majorHAnsi"/>
      <w:color w:val="000000"/>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2026-08-23T10:16:05Z</dcterms:created>
  <dcterms:modified xsi:type="dcterms:W3CDTF">2026-08-23T10:16:05Z</dcterms:modified>
</cp:coreProperties>
</file>

<file path=docProps/custom.xml><?xml version="1.0" encoding="utf-8"?>
<Properties xmlns="http://schemas.openxmlformats.org/officeDocument/2006/custom-properties" xmlns:vt="http://schemas.openxmlformats.org/officeDocument/2006/docPropsVTypes"/>
</file>