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is available from the corresponding author. Files containing names or IP addresses will not be shared.</w:t>
      </w:r>
    </w:p>
    <w:bookmarkStart w:id="20" w:name="abstract"/>
    <w:p>
      <w:pPr>
        <w:pStyle w:val="Heading2"/>
      </w:pPr>
      <w:r>
        <w:t xml:space="preserve">Abstract</w:t>
      </w:r>
    </w:p>
    <w:p>
      <w:pPr>
        <w:pStyle w:val="FirstParagraph"/>
      </w:pPr>
      <w:r>
        <w:t xml:space="preserve">When Chinese universities moved instruction online, many Pakistani students continued their language courses from households that had not been designed as classrooms. This article is a study of curriculum implementation: it examines how a Chinese-university language course was delivered, under emergency remote teaching, into homes structured by digital inequality and uneven platform access. A questionnaire completed by 38 students in February 2022 (mainly Pakistani; nine responses labelled mainland China) found unstable networks (76.3%), power cuts (42.1%), and homes that were not quiet (71.1%) to be common; 36.8% reported very high stress. Eleven of the 14 students who said the home affected study</w:t>
      </w:r>
      <w:r>
        <w:t xml:space="preserve"> </w:t>
      </w:r>
      <w:r>
        <w:t xml:space="preserve">“</w:t>
      </w:r>
      <w:r>
        <w:t xml:space="preserve">very much</w:t>
      </w:r>
      <w:r>
        <w:t xml:space="preserve">”</w:t>
      </w:r>
      <w:r>
        <w:t xml:space="preserve"> </w:t>
      </w:r>
      <w:r>
        <w:t xml:space="preserve">also reported very high stress, compared with 3 of the 24 others. Worse internet speed tracked worse learning appraisal (ρ = .65). Campus applications such as QQ and Chaoxing were often marked unusable; Zoom and WhatsApp were more often marked available. Half the sample said online study could replace campus classes; women more often said it could not. The implication, bounded by this sample, is that localising delivery on this corridor means fitting the live hour to the household and to the application that opens, not only adapting textbook content.</w:t>
      </w:r>
    </w:p>
    <w:p>
      <w:pPr>
        <w:pStyle w:val="BodyText"/>
      </w:pPr>
      <w:r>
        <w:rPr>
          <w:bCs/>
          <w:b/>
        </w:rPr>
        <w:t xml:space="preserve">Keywords:</w:t>
      </w:r>
      <w:r>
        <w:t xml:space="preserve"> </w:t>
      </w:r>
      <w:r>
        <w:t xml:space="preserve">emergency remote teaching; Chinese as an additional language; digital inequality; curriculum implementation; Pakistan; household</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soon returned there. They remained enrolled in Chinese-university language courses, yet the classroom they entered was a family home, a hostel, or a room shared with siblings, prepaid mobile data, and load-shedding. Chinese as an additional language did not disappear. What changed was the site at which a campus course had to be lived.</w:t>
      </w:r>
    </w:p>
    <w:p>
      <w:pPr>
        <w:pStyle w:val="BodyText"/>
      </w:pPr>
      <w:r>
        <w:t xml:space="preserve">A Chinese-university language course is more than a textbook and an HSK calendar. It is a planned sequence of live hours, oral tasks, and campus platforms that assume a dormitory, a timetable, and a login that works. Emergency remote teaching (Hodges et al., 2020) kept those elements and changed the place. Learners met the old course plan in households rather than in a redesigned distance-education programme.</w:t>
      </w:r>
    </w:p>
    <w:p>
      <w:pPr>
        <w:pStyle w:val="BodyText"/>
      </w:pPr>
      <w:r>
        <w:t xml:space="preserve">The article is therefore about one thing, not four. Emergency remote teaching is the occasion. Digital inequality and platform access are the mechanism. Localisation of</w:t>
      </w:r>
      <w:r>
        <w:t xml:space="preserve"> </w:t>
      </w:r>
      <w:r>
        <w:rPr>
          <w:iCs/>
          <w:i/>
        </w:rPr>
        <w:t xml:space="preserve">delivery</w:t>
      </w:r>
      <w:r>
        <w:t xml:space="preserve"> </w:t>
      </w:r>
      <w:r>
        <w:t xml:space="preserve">is the implication. The paper is a study of curriculum implementation: how a campus language course was used off campus.</w:t>
      </w:r>
    </w:p>
    <w:p>
      <w:pPr>
        <w:pStyle w:val="BodyText"/>
      </w:pPr>
      <w:r>
        <w:rPr>
          <w:iCs/>
          <w:i/>
        </w:rPr>
        <w:t xml:space="preserve">Curriculum</w:t>
      </w:r>
      <w:r>
        <w:t xml:space="preserve">, accordingly, means the campus delivery plan (the live hour, the oral task, the campus login) when that plan is used away from campus.</w:t>
      </w:r>
      <w:r>
        <w:t xml:space="preserve"> </w:t>
      </w:r>
      <w:r>
        <w:rPr>
          <w:iCs/>
          <w:i/>
        </w:rPr>
        <w:t xml:space="preserve">Culture</w:t>
      </w:r>
      <w:r>
        <w:t xml:space="preserve"> </w:t>
      </w:r>
      <w:r>
        <w:t xml:space="preserve">is used in a narrower sense than textbook representation of Chinese festivals, values, or national images. Work in this journal already treats international students’ experience of Chinese education as a language-and-culture problem (Gao &amp; Hua, 2021; Gong, Gao, Li, &amp; Lai, 2020). Ecological and materials-in-use research locates that problem in the social setting of the class, not only in the page of the book (van Lier, 2004; Guerrettaz et al., 2021). When the class moves into a Pakistani household, the relevant cultural arrangement is who may speak, who owns the phone, whose paid or care work is interrupted, and what a</w:t>
      </w:r>
      <w:r>
        <w:t xml:space="preserve"> </w:t>
      </w:r>
      <w:r>
        <w:t xml:space="preserve">“</w:t>
      </w:r>
      <w:r>
        <w:t xml:space="preserve">Chinese class</w:t>
      </w:r>
      <w:r>
        <w:t xml:space="preserve">”</w:t>
      </w:r>
      <w:r>
        <w:t xml:space="preserve"> </w:t>
      </w:r>
      <w:r>
        <w:t xml:space="preserve">is allowed to mean in family space (Norton, 2013; Raza &amp; Hennessy, 2025). That is culture as the social world of additional-language practice. It is not an ethnography of Pakistani values, and it is not an analysis of how China is represented in</w:t>
      </w:r>
      <w:r>
        <w:t xml:space="preserve"> </w:t>
      </w:r>
      <w:r>
        <w:rPr>
          <w:iCs/>
          <w:i/>
        </w:rPr>
        <w:t xml:space="preserve">HSK Standard Course</w:t>
      </w:r>
      <w:r>
        <w:t xml:space="preserv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International Chinese Language Education (ICLE) has asked how textbooks, tests, and cultural content travel into overseas programmes (Zhao &amp; Huang, 2010; Gong, Gao, &amp; Lyu, 2020), and how international students experience language and culture</w:t>
      </w:r>
      <w:r>
        <w:t xml:space="preserve"> </w:t>
      </w:r>
      <w:r>
        <w:rPr>
          <w:iCs/>
          <w:i/>
        </w:rPr>
        <w:t xml:space="preserve">in</w:t>
      </w:r>
      <w:r>
        <w:t xml:space="preserve"> </w:t>
      </w:r>
      <w:r>
        <w:t xml:space="preserve">Chinese universities (Gao &amp; Hua, 2021; Gong, Gao, Li, &amp; Lai, 2020). Far less is known about Pakistani students who belong to Chinese universities but study Chinese from homes outside the Chinese campus network. That interrupted South-South route is the reverse of the usual</w:t>
      </w:r>
      <w:r>
        <w:t xml:space="preserve"> </w:t>
      </w:r>
      <w:r>
        <w:t xml:space="preserve">“</w:t>
      </w:r>
      <w:r>
        <w:t xml:space="preserve">international student in China</w:t>
      </w:r>
      <w:r>
        <w:t xml:space="preserve">”</w:t>
      </w:r>
      <w:r>
        <w:t xml:space="preserve"> </w:t>
      </w:r>
      <w:r>
        <w:t xml:space="preserve">account.</w:t>
      </w:r>
    </w:p>
    <w:p>
      <w:pPr>
        <w:pStyle w:val="BodyText"/>
      </w:pPr>
      <w:r>
        <w:t xml:space="preserve">The field has since moved on. Digital tools have become ordinary in many face-to-face language classrooms (Moorhouse, 2023; Moorhouse, Wong, &amp; Li, 2023), and later work asks how generative AI reconfigures access (Darvin, 2025). Hybrid ICLE and HSK delivery, however, still often assume a login, a bandwidth, and a quiet room. The first question on this corridor is more basic: who could enter the class at all?</w:t>
      </w:r>
    </w:p>
    <w:p>
      <w:pPr>
        <w:pStyle w:val="BodyText"/>
      </w:pPr>
      <w:r>
        <w:t xml:space="preserve">This article reports a questionnaire completed by 38 students between 5 and 8 February 2022. It asks how digital inequality, including which Chinese-campus platforms opened from homes outside the campus network, related to participation in Chinese class under emergency remote teaching. Three questions guide the analysis:</w:t>
      </w:r>
    </w:p>
    <w:p>
      <w:pPr>
        <w:numPr>
          <w:ilvl w:val="0"/>
          <w:numId w:val="1001"/>
        </w:numPr>
        <w:pStyle w:val="Compact"/>
      </w:pPr>
      <w:r>
        <w:t xml:space="preserve">Which material, domestic, and platform conditions characterised emergency remote Chinese classes in this sample?</w:t>
      </w:r>
    </w:p>
    <w:p>
      <w:pPr>
        <w:numPr>
          <w:ilvl w:val="0"/>
          <w:numId w:val="1001"/>
        </w:numPr>
        <w:pStyle w:val="Compact"/>
      </w:pPr>
      <w:r>
        <w:t xml:space="preserve">How were those conditions related to stress, teacher interaction, and perceived learning?</w:t>
      </w:r>
    </w:p>
    <w:p>
      <w:pPr>
        <w:numPr>
          <w:ilvl w:val="0"/>
          <w:numId w:val="1001"/>
        </w:numPr>
        <w:pStyle w:val="Compact"/>
      </w:pPr>
      <w:r>
        <w:t xml:space="preserve">Did learners treat online Chinese as a legitimate substitute for campus study, and did that judgement differ by gender or by how much they thought they had learned?</w:t>
      </w:r>
    </w:p>
    <w:p>
      <w:pPr>
        <w:pStyle w:val="FirstParagraph"/>
      </w:pPr>
      <w:r>
        <w:t xml:space="preserve">The contribution is empirical and curricular. The study describes household infrastructure, platform access, and participation among Pakistani (and one neighbouring) students of Chinese-university language courses. It reads those findings through sequential digital inequality (van Dijk, 2020) and home ecology. Language investment (Norton, 2013; Darvin &amp; Norton, 2015, 2023) is used only in the discussion, as a way of interpreting thin interaction and the split over whether online study counted as class. It is not a third measured construct and it is not required to follow the results. The practical claim is bounded: localising</w:t>
      </w:r>
      <w:r>
        <w:t xml:space="preserve"> </w:t>
      </w:r>
      <w:r>
        <w:rPr>
          <w:iCs/>
          <w:i/>
        </w:rPr>
        <w:t xml:space="preserve">delivery</w:t>
      </w:r>
      <w:r>
        <w:t xml:space="preserve"> </w:t>
      </w:r>
      <w:r>
        <w:t xml:space="preserve">on this corridor has to include the household and the application that opens, not only the cultural content of textbooks.</w:t>
      </w:r>
    </w:p>
    <w:bookmarkEnd w:id="21"/>
    <w:bookmarkStart w:id="26" w:name="literature-review"/>
    <w:p>
      <w:pPr>
        <w:pStyle w:val="Heading2"/>
      </w:pPr>
      <w:r>
        <w:t xml:space="preserve">2. Literature review</w:t>
      </w:r>
    </w:p>
    <w:bookmarkStart w:id="22" w:name="X68dd8ebeb22cc7a16b333349dc5f722ace7abd5"/>
    <w:p>
      <w:pPr>
        <w:pStyle w:val="Heading3"/>
      </w:pPr>
      <w:r>
        <w:t xml:space="preserve">2.1 Emergency remote teaching and the copy of the campus hour</w:t>
      </w:r>
    </w:p>
    <w:p>
      <w:pPr>
        <w:pStyle w:val="FirstParagraph"/>
      </w:pPr>
      <w:r>
        <w:t xml:space="preserve">Hodges et al. (2020) distinguished emergency remote teaching from planned online or blended courses. The former is a temporary shift under crisis and does not follow a full instructional design cycle. Gacs, Goertler and Spasova (2020) applied that distinction to languages and warned against judging crisis teaching by the standards of mature online programmes. Reviews of 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the distinction. Moorhouse, Wong and Li (2023) describe technological normalisation: tools becoming ordinary in everyday teaching. Moorhouse (2023) found that, in a well-resourced setting, many teachers kept digital tools after they returned to the physical classroom. Stockwell and Wang (2023) note a narrower pattern. Much emergency teaching used videoconferencing to copy face-to-face teaching, and that copy still shapes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later review of online ICLE still lists technical issues, weak interaction, and time-zone problems among the limits of blended teaching (Li &amp; Li, 2024). Much of that work assumes a Chinese campus system at one end of the link and a fairly stable connection at the other. That assumption does not travel automatically to Pakistan.</w:t>
      </w:r>
    </w:p>
    <w:bookmarkEnd w:id="22"/>
    <w:bookmarkStart w:id="23" w:name="digital-inequality-beyond-the-device"/>
    <w:p>
      <w:pPr>
        <w:pStyle w:val="Heading3"/>
      </w:pPr>
      <w:r>
        <w:t xml:space="preserve">2.2 Digital inequality beyond the device</w:t>
      </w:r>
    </w:p>
    <w:p>
      <w:pPr>
        <w:pStyle w:val="FirstParagraph"/>
      </w:pPr>
      <w:r>
        <w:t xml:space="preserve">Early digital-divide 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a live class and a PDF textbook. Warschauer (2003) argued that language learning on screens is stratified by these layers. Emergency remote teaching compressed them into one domestic scene.</w:t>
      </w:r>
    </w:p>
    <w:p>
      <w:pPr>
        <w:pStyle w:val="BodyText"/>
      </w:pPr>
      <w:r>
        <w:t xml:space="preserve">Owning a device is not the same as taking part. Rural-urban and household inequalities continue to shape who can sit in a live class (Ali, 2020). In Pakistan the household is also structured by gender. Raza and Hennessy (2025) show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application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X75f45f70ef24a8c055acda28896abcb2b6eeb84"/>
    <w:p>
      <w:pPr>
        <w:pStyle w:val="Heading3"/>
      </w:pPr>
      <w:r>
        <w:t xml:space="preserve">2.3 Participation, not a measured investment scale</w:t>
      </w:r>
    </w:p>
    <w:p>
      <w:pPr>
        <w:pStyle w:val="FirstParagraph"/>
      </w:pPr>
      <w:r>
        <w:t xml:space="preserve">Motivation research can describe who wants to learn Chinese. It is weaker on who can act as a learner on a given afternoon. Norton’s (2013) construct of investment links identity, capital, and ideology, and Darvin and Norton (2023) distinguish it from motivation: a learner may still want Chinese and yet not be invested in the practices of a given class if those practices are unworkable. Hajar and Karakuş (2024) place the (dis)investment of international students in languages other than English on this journal’s agenda. Wen and Liu (2025) show that advanced learners of Chinese live pride, burnout, and anxiety across classroom scenes that, under emergency remote teaching, were filtered through the household.</w:t>
      </w:r>
    </w:p>
    <w:p>
      <w:pPr>
        <w:pStyle w:val="BodyText"/>
      </w:pPr>
      <w:r>
        <w:t xml:space="preserve">That literature is used later as a discussion lens, not as the design of the questionnaire. The form did not ask about identity, imagined return, or withdrawal. What it recorded is participation: teacher interaction, learning appraisal, and whether online Chinese was judged a substitute for campus study. COVID-19 was also a linguistic crisis (Piller, Zhang, &amp; Li, 2020). A live Chinese class on an unfamiliar platform is a language-access problem as well as a technical one.</w:t>
      </w:r>
    </w:p>
    <w:bookmarkEnd w:id="24"/>
    <w:bookmarkStart w:id="25" w:name="icle-on-the-pakistan-corridor"/>
    <w:p>
      <w:pPr>
        <w:pStyle w:val="Heading3"/>
      </w:pPr>
      <w:r>
        <w:t xml:space="preserve">2.4 ICLE on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scholarships, and employment, and that demand remains live in Punjab and Sindh (Iftikhar et al., 2024).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and programme fit inside Pakistan (Lu et al., 2024). Those studies concern programmes in Pakistan. The present students were enrolled in Chinese universities. The two groups share a language, a test culture, and often a textbook family. They do not share a campus. Adapting a book for a Pakistani institute is not the same task as keeping a Chinese-university language course alive in a Karachi or Lahore household at 21:00 after a power cut.</w:t>
      </w:r>
    </w:p>
    <w:p>
      <w:pPr>
        <w:pStyle w:val="BodyText"/>
      </w:pPr>
      <w:r>
        <w:t xml:space="preserve">Guerrettaz et al. (2021) treat materials as what happens in use. Under emergency remote teaching the material was a live class and the use was a phone in a shared room. Curriculum research that stops at the page of the book will miss that scene. Shan and Xu (2024) show that students experience an institutionalised language curriculum as a fixed pathway they may also negotiate. The students in this study were asked to follow a Chinese-university pathway from sites that often could not hold a campus oral hour.</w:t>
      </w:r>
    </w:p>
    <w:p>
      <w:pPr>
        <w:pStyle w:val="BodyText"/>
      </w:pPr>
      <w:r>
        <w:t xml:space="preserve">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(Raza &amp; Hennessy, 2025). ICLE localisation research under-represents the home as a site of</w:t>
      </w:r>
      <w:r>
        <w:t xml:space="preserve"> </w:t>
      </w:r>
      <w:r>
        <w:rPr>
          <w:iCs/>
          <w:i/>
        </w:rPr>
        <w:t xml:space="preserve">delivery</w:t>
      </w:r>
      <w:r>
        <w:t xml:space="preserve">, and under-represents which Chinese-campus applications open from phones outside China. The present study addresses that gap at the point where a campus curriculum entered the household.</w:t>
      </w:r>
    </w:p>
    <w:bookmarkEnd w:id="25"/>
    <w:bookmarkEnd w:id="26"/>
    <w:bookmarkStart w:id="27" w:name="theoretical-framework"/>
    <w:p>
      <w:pPr>
        <w:pStyle w:val="Heading2"/>
      </w:pPr>
      <w:r>
        <w:t xml:space="preserve">3. Theoretical framework</w:t>
      </w:r>
    </w:p>
    <w:p>
      <w:pPr>
        <w:pStyle w:val="FirstParagraph"/>
      </w:pPr>
      <w:r>
        <w:t xml:space="preserve">The study uses a two-layer material-context model (Figure 1). The model is a reading of the questionnaire, not a tested path and not a structural equation.</w:t>
      </w:r>
    </w:p>
    <w:p>
      <w:pPr>
        <w:pStyle w:val="BodyText"/>
      </w:pPr>
      <w:r>
        <w:t xml:space="preserve">The first layer is sequential digital inequality, including platform geography (van Dijk, 2020). Electricity, devices, bandwidth, and time are ordered resources. Which application opens is part of that sequence: campus Chinese tools and consumer tools that work on Pakistani mobile networks are not interchangeable logins. Absence at an earlier layer blocks later ones. Without power there is no live class. Without a usable login there is little interaction even if the class is on.</w:t>
      </w:r>
    </w:p>
    <w:p>
      <w:pPr>
        <w:pStyle w:val="BodyText"/>
      </w:pPr>
      <w:r>
        <w:t xml:space="preserve">The second layer is home ecology (van Lier, 2004; Guerrettaz et al., 2021). The unit of analysis is the household rather than</w:t>
      </w:r>
      <w:r>
        <w:t xml:space="preserve"> </w:t>
      </w:r>
      <w:r>
        <w:t xml:space="preserve">“</w:t>
      </w:r>
      <w:r>
        <w:t xml:space="preserve">the student plus the application</w:t>
      </w:r>
      <w:r>
        <w:t xml:space="preserve">”</w:t>
      </w:r>
      <w:r>
        <w:t xml:space="preserve">: shared rooms, family labour, gendered domestic space, and the China-Pakistan time difference. Emergency remote teaching relocated the Chinese classroom into this ecology without redesigning the lesson or the house.</w:t>
      </w:r>
    </w:p>
    <w:p>
      <w:pPr>
        <w:pStyle w:val="BodyText"/>
      </w:pPr>
      <w:r>
        <w:t xml:space="preserve">The outcomes recorded on the form are stress, teacher interaction, perceived learning (a three-item appraisal: learned much, improves Chinese, sparks interest), and whether online study was judged a substitute for campus classes. Language investment is not a third layer of the model. It is introduced only in the discussion, as one way of reading thin participation. Readers who prefer a digital-inequality account can stop at the two layers and the results.</w:t>
      </w:r>
    </w:p>
    <w:p>
      <w:pPr>
        <w:pStyle w:val="BodyText"/>
      </w:pPr>
      <w:r>
        <w:t xml:space="preserve">Figure 1. Material-context model of emergency remote Chinese learning. Sequential digital inequality (power, signal, speed, and which application opens) and home ecology (space, family, paid work) are concurrent conditions. They are read as shaping participation and the self-reported outcomes of stress, interaction, learning appraisal, and the replacement judgement. The figure is a reading model, not a tested path. Investment is not shown.</w:t>
      </w:r>
    </w:p>
    <w:bookmarkEnd w:id="27"/>
    <w:bookmarkStart w:id="33" w:name="the-study"/>
    <w:p>
      <w:pPr>
        <w:pStyle w:val="Heading2"/>
      </w:pPr>
      <w:r>
        <w:t xml:space="preserve">4. The study</w:t>
      </w:r>
    </w:p>
    <w:bookmarkStart w:id="28" w:name="context-and-design"/>
    <w:p>
      <w:pPr>
        <w:pStyle w:val="Heading3"/>
      </w:pPr>
      <w:r>
        <w:t xml:space="preserve">4.1 Context and design</w:t>
      </w:r>
    </w:p>
    <w:p>
      <w:pPr>
        <w:pStyle w:val="FirstParagraph"/>
      </w:pPr>
      <w:r>
        <w:t xml:space="preserve">Respondents were enrolled in Chinese-university language courses that had moved online. In early February 2022 many Pakistani students were at home rather than in a Chinese dormitory; nine responses were still labelled mainland China. The course they were expected to attend assumed a campus timetable, a live oral hour, and a login on a Chinese-campus platform. The household, the power supply, and the applications that opened from a Pakistani mobile network were not part of that plan. The questionnaire does not name the host university, the textbook, or an HSK target. Curriculum here means that campus delivery plan as lived.</w:t>
      </w:r>
    </w:p>
    <w:p>
      <w:pPr>
        <w:pStyle w:val="BodyText"/>
      </w:pPr>
      <w:r>
        <w:t xml:space="preserve">The study is a cross-sectional questionnaire of how that course was experienced from wherever the student sat that week. Data come from a Chinese-medium Wenjuan questionnaire on influencing factors in international students’ online Chinese learning during COVID-19 (38 complete cases, 5 to 8 February 2022).</w:t>
      </w:r>
    </w:p>
    <w:bookmarkEnd w:id="28"/>
    <w:bookmarkStart w:id="29"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All submissions used a phone (iPhone 24, 63.2%; Android 14). Device ownership was therefore not the main gap. IP geolocation placed nine responses in mainland China and 29 elsewhere. The main analysis keeps all 38 cases. The form did not ask whether the student held a China Scholarship Council award, so the sample is described as Chinese-university language students.</w:t>
      </w:r>
    </w:p>
    <w:p>
      <w:pPr>
        <w:pStyle w:val="BodyText"/>
      </w:pPr>
      <w:r>
        <w:t xml:space="preserve">The sample is a network-recruited convenience sample, not a draw from all Pakistani students in Chinese universities. Scholarship routes from Pakistan have long been male-heavy in some tracks, and a questionnaire link passed through student networks will reproduce that skew. Eleven women are too few to describe Pakistani women’s home classrooms. Percentages for the whole sample therefore combine men’s experience with a small female minority. Gender is tested where the instrument allows (research question 3). Non-significant gender tests are treated as inconclusive.</w:t>
      </w:r>
    </w:p>
    <w:bookmarkEnd w:id="29"/>
    <w:bookmarkStart w:id="30" w:name="instrument"/>
    <w:p>
      <w:pPr>
        <w:pStyle w:val="Heading3"/>
      </w:pPr>
      <w:r>
        <w:t xml:space="preserve">4.3 Instrument</w:t>
      </w:r>
    </w:p>
    <w:p>
      <w:pPr>
        <w:pStyle w:val="FirstParagraph"/>
      </w:pPr>
      <w:r>
        <w:t xml:space="preserve">The questionnaire comprised about 30 items: demographics, single-choice ordinals, and multiple-response lists of courses, problems, platforms, and forms of interaction. Stems are in Chinese, with some non-native wording (for example 您尝尝用什么平台). We translate for reporting and analysed the coded values.</w:t>
      </w:r>
    </w:p>
    <w:p>
      <w:pPr>
        <w:pStyle w:val="BodyText"/>
      </w:pPr>
      <w:r>
        <w:t xml:space="preserve">A learning-appraisal composite was formed from three same-direction ordinals (learned much; improves Chinese; sparks interest). Cronbach’s α = .84. Higher scores on the composites used below indicate a worse condition or a thinner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0"/>
    <w:bookmarkStart w:id="31" w:name="analysis"/>
    <w:p>
      <w:pPr>
        <w:pStyle w:val="Heading3"/>
      </w:pPr>
      <w:r>
        <w:t xml:space="preserve">4.4 Analysis</w:t>
      </w:r>
    </w:p>
    <w:p>
      <w:pPr>
        <w:pStyle w:val="FirstParagraph"/>
      </w:pPr>
      <w:r>
        <w:t xml:space="preserve">Frequencies are reported as n/38. Multiple-response items are the percentage of respondents who selected the option. The learning-appraisal score is the mean of learned, improve, and interest (higher = worse). With N = 38 the analysis is exploratory and descriptive. We report cell counts first. For 2×2 tables we add Fisher’s exact test, φ, and an odds ratio with a 95% confidence interval only as a compact summary of those counts. The intervals are too wide to support population inference, and they should not be read as precise effect sizes. For ordinal pairs we used Spearman’s ρ, likewise as a rank association in this sample. Gender differences on ordinals were checked with Mann-Whitney U (all</w:t>
      </w:r>
      <w:r>
        <w:t xml:space="preserve"> </w:t>
      </w:r>
      <w:r>
        <w:rPr>
          <w:iCs/>
          <w:i/>
        </w:rPr>
        <w:t xml:space="preserve">p</w:t>
      </w:r>
      <w:r>
        <w:t xml:space="preserve"> </w:t>
      </w:r>
      <w:r>
        <w:t xml:space="preserve">&gt; .10). Sensitivity analyses repeat the two focal patterns among Pakistani respondents only (n = 37) and among cases whose IP was not labelled mainland China (n = 29).</w:t>
      </w:r>
      <w:r>
        <w:t xml:space="preserve"> </w:t>
      </w:r>
      <w:r>
        <w:rPr>
          <w:iCs/>
          <w:i/>
        </w:rPr>
        <w:t xml:space="preserve">p</w:t>
      </w:r>
      <w:r>
        <w:t xml:space="preserve"> </w:t>
      </w:r>
      <w:r>
        <w:t xml:space="preserve">values are not Bonferroni-adjusted.</w:t>
      </w:r>
    </w:p>
    <w:bookmarkEnd w:id="31"/>
    <w:bookmarkStart w:id="32" w:name="ethics"/>
    <w:p>
      <w:pPr>
        <w:pStyle w:val="Heading3"/>
      </w:pPr>
      <w:r>
        <w:t xml:space="preserve">4.5 Ethics</w:t>
      </w:r>
    </w:p>
    <w:p>
      <w:pPr>
        <w:pStyle w:val="FirstParagraph"/>
      </w:pPr>
      <w:r>
        <w:t xml:space="preserve">Adult students completed an online questionnaire presented as research on online Chinese learning. Submission of the form was treated as consent to use anonymised answers. Names, IP addresses, and exact timestamps beyond the collection dates were removed before analysis and are not published. Gender is reported because it structured one finding.</w:t>
      </w:r>
    </w:p>
    <w:bookmarkEnd w:id="32"/>
    <w:bookmarkEnd w:id="33"/>
    <w:bookmarkStart w:id="40" w:name="results"/>
    <w:p>
      <w:pPr>
        <w:pStyle w:val="Heading2"/>
      </w:pPr>
      <w:r>
        <w:t xml:space="preserve">5. Results</w:t>
      </w:r>
    </w:p>
    <w:bookmarkStart w:id="34" w:name="who-sat-in-the-class"/>
    <w:p>
      <w:pPr>
        <w:pStyle w:val="Heading3"/>
      </w:pPr>
      <w:r>
        <w:t xml:space="preserve">5.1 Who sat in the class</w:t>
      </w:r>
    </w:p>
    <w:p>
      <w:pPr>
        <w:pStyle w:val="FirstParagraph"/>
      </w:pPr>
      <w:r>
        <w:t xml:space="preserve">Table 1 locates the sample. It is small, phone-based, and majority male. Most respondents (78.9%) said all of their Chinese classes were online. More than half (57.9%) were working alongside study. Nine IP addresses were labelled mainland China. The analysis therefore describes an interrupted Chinese-university cohort rather than a group in which everyone sat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w:t>
      </w:r>
    </w:p>
    <w:bookmarkEnd w:id="34"/>
    <w:bookmarkStart w:id="35" w:name="household-conditions-and-stress"/>
    <w:p>
      <w:pPr>
        <w:pStyle w:val="Heading3"/>
      </w:pPr>
      <w:r>
        <w:t xml:space="preserve">5.2 Household conditions and stress</w:t>
      </w:r>
    </w:p>
    <w:p>
      <w:pPr>
        <w:pStyle w:val="FirstParagraph"/>
      </w:pPr>
      <w:r>
        <w:t xml:space="preserve">Table 2 summarises the conditions of study. Unstable networks (76.3%), power cuts (42.1%), and no signal (31.6%) were common. Most respondents (89.5%) said their country</w:t>
      </w:r>
      <w:r>
        <w:t xml:space="preserve"> </w:t>
      </w:r>
      <w:r>
        <w:t xml:space="preserve">“</w:t>
      </w:r>
      <w:r>
        <w:t xml:space="preserve">has internet,</w:t>
      </w:r>
      <w:r>
        <w:t xml:space="preserve">”</w:t>
      </w:r>
      <w:r>
        <w:t xml:space="preserve"> </w:t>
      </w:r>
      <w:r>
        <w:t xml:space="preserve">but speed was split: 36.8% good or very good, 36.8% average, and 26.3% bad or very bad. Four people (10.5%) said there was no internet in their country, yet all 38 submitted an online form. That item is better read as no stable home broadband than as no network at all.</w:t>
      </w:r>
    </w:p>
    <w:p>
      <w:pPr>
        <w:pStyle w:val="BodyText"/>
      </w:pPr>
      <w:r>
        <w:t xml:space="preserve">Only 11 of 38 (28.9%) described the home as quiet; 71.1% chose noisy or lively. Fourteen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The clearest pattern in the sample is between the home and stress, and it is best read as a count, not as a population odds ratio. Among those who said the home affected study very much, 11 of 14 also reported very high psychological stress; among the others, 3 of 24 did (Fisher</w:t>
      </w:r>
      <w:r>
        <w:t xml:space="preserve"> </w:t>
      </w:r>
      <w:r>
        <w:rPr>
          <w:iCs/>
          <w:i/>
        </w:rPr>
        <w:t xml:space="preserve">p</w:t>
      </w:r>
      <w:r>
        <w:t xml:space="preserve"> </w:t>
      </w:r>
      <w:r>
        <w:t xml:space="preserve">&lt; .001, φ = .66). Spearman’s ρ between that home item and the stress ordinal (1 = very high) was −.66 (</w:t>
      </w:r>
      <w:r>
        <w:rPr>
          <w:iCs/>
          <w:i/>
        </w:rPr>
        <w:t xml:space="preserve">p</w:t>
      </w:r>
      <w:r>
        <w:t xml:space="preserve"> </w:t>
      </w:r>
      <w:r>
        <w:t xml:space="preserve">&lt; .001). Table 4 prints the corresponding odds ratio only as a compact summary of the same 2×2 table; its interval ([4.42, 149.00]) is too wide for inference beyond this sample. The figure that discriminates is the 36.8% who reported very high stress.</w:t>
      </w:r>
    </w:p>
    <w:bookmarkEnd w:id="35"/>
    <w:bookmarkStart w:id="36" w:name="Xcaed1ea785147ce2b7b7bc763c8cc14ebc51e4b"/>
    <w:p>
      <w:pPr>
        <w:pStyle w:val="Heading3"/>
      </w:pPr>
      <w:r>
        <w:t xml:space="preserve">5.3 Platforms that opened and platforms that did not</w:t>
      </w:r>
    </w:p>
    <w:p>
      <w:pPr>
        <w:pStyle w:val="FirstParagraph"/>
      </w:pPr>
      <w:r>
        <w:t xml:space="preserve">Students did not so much lack a platform as they lacked the platform the university was using (Table 3). The tools reported as used for class were Tencent Meeting (71.1%), Zoom (47.4%), and WeChat (31.6%). The tools marked unusable</w:t>
      </w:r>
      <w:r>
        <w:t xml:space="preserve"> </w:t>
      </w:r>
      <w:r>
        <w:t xml:space="preserve">“</w:t>
      </w:r>
      <w:r>
        <w:t xml:space="preserve">in my country</w:t>
      </w:r>
      <w:r>
        <w:t xml:space="preserve">”</w:t>
      </w:r>
      <w:r>
        <w:t xml:space="preserve"> </w:t>
      </w:r>
      <w:r>
        <w:t xml:space="preserve">were QQ (50.0%), Chaoxing (42.1%), DingTalk (28.9%), and Chinese MOOC (28.9%). The tools marked available were Zoom (71.1%), WhatsApp (68.4%), Tencent Meeting (57.9%), and WeChat (39.5%). WhatsApp appears only as available; the questionnaire, as retained here, did not record whether it was used for class. Tencent Meeting was the most used class tool, yet fewer respondents marked it available in their country, a discrepancy that may reflect use while in China or through a virtual private network.</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 Campus-side Chinese platforms are those students mark as unusable. Consumer tools often used in Pakistan (Zoom, WhatsApp) are those they mark as available.</w:t>
      </w:r>
      <w:r>
        <w:t xml:space="preserve"> </w:t>
      </w:r>
      <w:r>
        <w:t xml:space="preserve">“</w:t>
      </w:r>
      <w:r>
        <w:t xml:space="preserve">My country</w:t>
      </w:r>
      <w:r>
        <w:t xml:space="preserve">”</w:t>
      </w:r>
      <w:r>
        <w:t xml:space="preserve"> </w:t>
      </w:r>
      <w:r>
        <w:t xml:space="preserve">is the student’s wording; nine responses were labelled mainland China.</w:t>
      </w:r>
    </w:p>
    <w:p>
      <w:pPr>
        <w:pStyle w:val="BodyText"/>
      </w:pPr>
      <w:r>
        <w:t xml:space="preserve">When emergency remote teaching copies the campus system off campus, the official classroom may sit on an application the student cannot enter.</w:t>
      </w:r>
    </w:p>
    <w:bookmarkEnd w:id="36"/>
    <w:bookmarkStart w:id="37" w:name="interaction-learning-appraisal-and-speed"/>
    <w:p>
      <w:pPr>
        <w:pStyle w:val="Heading3"/>
      </w:pPr>
      <w:r>
        <w:t xml:space="preserve">5.4 Interaction, learning appraisal, and speed</w:t>
      </w:r>
    </w:p>
    <w:p>
      <w:pPr>
        <w:pStyle w:val="FirstParagraph"/>
      </w:pPr>
      <w:r>
        <w:t xml:space="preserve">Very high stress was reported by 14 of 38 (36.8%). Active interaction with the teacher</w:t>
      </w:r>
      <w:r>
        <w:t xml:space="preserve"> </w:t>
      </w:r>
      <w:r>
        <w:t xml:space="preserve">“</w:t>
      </w:r>
      <w:r>
        <w:t xml:space="preserve">very much</w:t>
      </w:r>
      <w:r>
        <w:t xml:space="preserve">”</w:t>
      </w:r>
      <w:r>
        <w:t xml:space="preserve"> </w:t>
      </w:r>
      <w:r>
        <w:t xml:space="preserve">was reported by only 6 of 38 (15.8%); 11 of 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w:t>
      </w:r>
    </w:p>
    <w:p>
      <w:pPr>
        <w:pStyle w:val="BodyText"/>
      </w:pPr>
      <w:r>
        <w:t xml:space="preserve">Worse internet speed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network, no power, no signal) did not track appraisal (ρ = .02,</w:t>
      </w:r>
      <w:r>
        <w:t xml:space="preserve"> </w:t>
      </w:r>
      <w:r>
        <w:rPr>
          <w:iCs/>
          <w:i/>
        </w:rPr>
        <w:t xml:space="preserve">p</w:t>
      </w:r>
      <w:r>
        <w:t xml:space="preserve"> </w:t>
      </w:r>
      <w:r>
        <w:t xml:space="preserve">= .91). In this sample, speed of use matters; the number of problems ticked does not.</w:t>
      </w:r>
    </w:p>
    <w:p>
      <w:pPr>
        <w:pStyle w:val="BodyText"/>
      </w:pPr>
      <w:r>
        <w:t xml:space="preserve">Preferred live length was shorter than a typical campus Chinese class: 50% wanted 45 minutes and 28.9% wanted 30 minutes. One open comment refused the mode altogether: even one minute online was</w:t>
      </w:r>
      <w:r>
        <w:t xml:space="preserve"> </w:t>
      </w:r>
      <w:r>
        <w:t xml:space="preserve">“</w:t>
      </w:r>
      <w:r>
        <w:t xml:space="preserve">not suitable,</w:t>
      </w:r>
      <w:r>
        <w:t xml:space="preserve">”</w:t>
      </w:r>
      <w:r>
        <w:t xml:space="preserve"> </w:t>
      </w:r>
      <w:r>
        <w:t xml:space="preserve">and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Cell counts / statistic</w:t>
            </w:r>
          </w:p>
        </w:tc>
      </w:tr>
      <w:tr>
        <w:tc>
          <w:tcPr/>
          <w:p>
            <w:pPr>
              <w:pStyle w:val="Compact"/>
              <w:jc w:val="left"/>
            </w:pPr>
            <w:r>
              <w:t xml:space="preserve">Home affects study very much × very high stress</w:t>
            </w:r>
          </w:p>
        </w:tc>
        <w:tc>
          <w:tcPr/>
          <w:p>
            <w:pPr>
              <w:pStyle w:val="Compact"/>
              <w:jc w:val="left"/>
            </w:pPr>
            <w:r>
              <w:t xml:space="preserve">11/14 vs 3/24; Fisher</w:t>
            </w:r>
            <w:r>
              <w:t xml:space="preserve"> </w:t>
            </w:r>
            <w:r>
              <w:rPr>
                <w:iCs/>
                <w:i/>
              </w:rPr>
              <w:t xml:space="preserve">p</w:t>
            </w:r>
            <w:r>
              <w:t xml:space="preserve"> </w:t>
            </w:r>
            <w:r>
              <w:t xml:space="preserve">&lt; .001, φ = .66; OR = 25.67, 95% CI [4.42, 149.00]</w:t>
            </w:r>
          </w:p>
        </w:tc>
      </w:tr>
      <w:tr>
        <w:tc>
          <w:tcPr/>
          <w:p>
            <w:pPr>
              <w:pStyle w:val="Compact"/>
              <w:jc w:val="left"/>
            </w:pPr>
            <w:r>
              <w:t xml:space="preserve">Female × online cannot replace campus</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Learned little/nothing × cannot replace</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Poor internet × cannot replace</w:t>
            </w:r>
          </w:p>
        </w:tc>
        <w:tc>
          <w:tcPr/>
          <w:p>
            <w:pPr>
              <w:pStyle w:val="Compact"/>
              <w:jc w:val="left"/>
            </w:pPr>
            <w:r>
              <w:t xml:space="preserve">8/10 vs 11/28; Fisher</w:t>
            </w:r>
            <w:r>
              <w:t xml:space="preserve"> </w:t>
            </w:r>
            <w:r>
              <w:rPr>
                <w:iCs/>
                <w:i/>
              </w:rPr>
              <w:t xml:space="preserve">p</w:t>
            </w:r>
            <w:r>
              <w:t xml:space="preserve"> </w:t>
            </w:r>
            <w:r>
              <w:t xml:space="preserve">= .062, φ = .36; OR = 6.18, 95% CI [1.10, 34.70]</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 ratios summarise the 2×2 counts in this sample; the intervals are too wide for population inference. The female × cannot-replace row and the learned-little × cannot-replace row have the same OR by coincidence (both tables are 17/10 versus 2/9); they are not the same test.</w:t>
      </w:r>
    </w:p>
    <w:bookmarkEnd w:id="37"/>
    <w:bookmarkStart w:id="38" w:name="could-online-chinese-replace-the-campus"/>
    <w:p>
      <w:pPr>
        <w:pStyle w:val="Heading3"/>
      </w:pPr>
      <w:r>
        <w:t xml:space="preserve">5.5 Could online Chinese replace the campus?</w:t>
      </w:r>
    </w:p>
    <w:p>
      <w:pPr>
        <w:pStyle w:val="FirstParagraph"/>
      </w:pPr>
      <w:r>
        <w:t xml:space="preserve">Nineteen of 38 said online study could replace campus classes and 19 said it could not. Among women, 9 of 11 said it cannot; among men, 10 of 27 said so (Fisher</w:t>
      </w:r>
      <w:r>
        <w:t xml:space="preserve"> </w:t>
      </w:r>
      <w:r>
        <w:rPr>
          <w:iCs/>
          <w:i/>
        </w:rPr>
        <w:t xml:space="preserve">p</w:t>
      </w:r>
      <w:r>
        <w:t xml:space="preserve"> </w:t>
      </w:r>
      <w:r>
        <w:t xml:space="preserve">= .029, φ = .41). Those who learned little or nothing more often said it cannot replace campus. Among those with poor internet, 8 of 10 said it cannot, versus 11 of 28 of the rest (</w:t>
      </w:r>
      <w:r>
        <w:rPr>
          <w:iCs/>
          <w:i/>
        </w:rPr>
        <w:t xml:space="preserve">p</w:t>
      </w:r>
      <w:r>
        <w:t xml:space="preserve"> </w:t>
      </w:r>
      <w:r>
        <w:t xml:space="preserve">= .062). Table 4 again prints odds ratios only as a compact summary of those counts.</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pattern sits beside that refusal: 19 of 27 men (70.4%) were working while studying, against 3 of 11 women (27.3%) (Fisher</w:t>
      </w:r>
      <w:r>
        <w:t xml:space="preserve"> </w:t>
      </w:r>
      <w:r>
        <w:rPr>
          <w:iCs/>
          <w:i/>
        </w:rPr>
        <w:t xml:space="preserve">p</w:t>
      </w:r>
      <w:r>
        <w:t xml:space="preserve"> </w:t>
      </w:r>
      <w:r>
        <w:t xml:space="preserve">= .028). Men in this sample more often combined wage labour with emergency remote teaching; women more often refused to count it as campus. Both patterns are signals in a male-majority sample, not a full gender analysis.</w:t>
      </w:r>
    </w:p>
    <w:bookmarkEnd w:id="38"/>
    <w:bookmarkStart w:id="39" w:name="sensitivity"/>
    <w:p>
      <w:pPr>
        <w:pStyle w:val="Heading3"/>
      </w:pPr>
      <w:r>
        <w:t xml:space="preserve">5.6 Sensitivity</w:t>
      </w:r>
    </w:p>
    <w:p>
      <w:pPr>
        <w:pStyle w:val="FirstParagraph"/>
      </w:pPr>
      <w:r>
        <w:t xml:space="preserve">Table 5 repeats the two focal tests. Among Pakistani respondents only (n = 37), unstable networks remained 75.7% and power cuts 43.2%; the home-stress association remained</w:t>
      </w:r>
      <w:r>
        <w:t xml:space="preserve"> </w:t>
      </w:r>
      <w:r>
        <w:rPr>
          <w:iCs/>
          <w:i/>
        </w:rPr>
        <w:t xml:space="preserve">p</w:t>
      </w:r>
      <w:r>
        <w:t xml:space="preserve"> </w:t>
      </w:r>
      <w:r>
        <w:t xml:space="preserve">&lt; .001 and speed × appraisal was ρ = .67. Among responses whose IP was not labelled mainland China (n = 29), the same figures were 75.9%, 41.4%,</w:t>
      </w:r>
      <w:r>
        <w:t xml:space="preserve"> </w:t>
      </w:r>
      <w:r>
        <w:rPr>
          <w:iCs/>
          <w:i/>
        </w:rPr>
        <w:t xml:space="preserve">p</w:t>
      </w:r>
      <w:r>
        <w:t xml:space="preserve"> </w:t>
      </w:r>
      <w:r>
        <w:t xml:space="preserve">&lt; .001, and ρ = .70. Restricting the sample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bookmarkEnd w:id="39"/>
    <w:bookmarkEnd w:id="40"/>
    <w:bookmarkStart w:id="45" w:name="discussion"/>
    <w:p>
      <w:pPr>
        <w:pStyle w:val="Heading2"/>
      </w:pPr>
      <w:r>
        <w:t xml:space="preserve">6. Discussion</w:t>
      </w:r>
    </w:p>
    <w:bookmarkStart w:id="41" w:name="a-campus-curriculum-without-the-campus"/>
    <w:p>
      <w:pPr>
        <w:pStyle w:val="Heading3"/>
      </w:pPr>
      <w:r>
        <w:t xml:space="preserve">6.1 A campus curriculum without the campus</w:t>
      </w:r>
    </w:p>
    <w:p>
      <w:pPr>
        <w:pStyle w:val="FirstParagraph"/>
      </w:pPr>
      <w:r>
        <w:t xml:space="preserve">This article is about curriculum implementation under emergency remote teaching. Chinese-university language programmes imagine a campus: a dormitory, a classroom, extra-curricular Chinese, and an HSK calendar. The emergency kept the assessment plan and removed the campus for those who were offshore. Very high stress at 36.8% is not only pandemic psychology. It is also language-learning psychology once speaking and listening meet an unstable connection and a lively room (cf. MacIntyre et al., 2020). In this sample, 11 of 14 students who said the home affected study very much also reported very high stress, against 3 of 24 others. That count, not the odds ratio, is the pattern we take forward.</w:t>
      </w:r>
    </w:p>
    <w:p>
      <w:pPr>
        <w:pStyle w:val="BodyText"/>
      </w:pPr>
      <w:r>
        <w:t xml:space="preserve">The finding is still useful after the emergency because hybrid ICLE and HSK delivery on Chinese-campus systems are often designed as if the login, the hour, and the room were campus-like. Moorhouse et al. (2023) describe technological normalisation after the return to class. Stockwell and Wang (2023) warn that treating videoconferencing as a copy of campus teaching is a limited lesson from the crisis. This corridor did not reach that normalisation. Before later digital practices such as generative AI become relevant (Darvin, 2025), the class has to open, the current has to hold, and the house has to allow a voice.</w:t>
      </w:r>
    </w:p>
    <w:bookmarkEnd w:id="41"/>
    <w:bookmarkStart w:id="42" w:name="X3acea38e0eaa813d07faf5a60d129f027ed62fe"/>
    <w:p>
      <w:pPr>
        <w:pStyle w:val="Heading3"/>
      </w:pPr>
      <w:r>
        <w:t xml:space="preserve">6.2 Sequence, speed, and the geography of the login</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problems does not. Campus platforms sit in another country from the applications that actually open. Training teachers in Chaoxing breakout rooms addresses a layer many of these students could not enter. For this corridor the earlier layers are household electricity and whether the campus login opens on the phone the student has.</w:t>
      </w:r>
    </w:p>
    <w:bookmarkEnd w:id="42"/>
    <w:bookmarkStart w:id="43" w:name="X975158339fb38d01e9ae1d4efc8dce89d233922"/>
    <w:p>
      <w:pPr>
        <w:pStyle w:val="Heading3"/>
      </w:pPr>
      <w:r>
        <w:t xml:space="preserve">6.3 A discussion lens: why some learners refused the substitute</w:t>
      </w:r>
    </w:p>
    <w:p>
      <w:pPr>
        <w:pStyle w:val="FirstParagraph"/>
      </w:pPr>
      <w:r>
        <w:t xml:space="preserve">The two-layer model already explains most of the results: power and speed shaped appraisal; campus logins often failed; the home was associated with very high stress. A further question is how to read thin teacher interaction (only 15.8%</w:t>
      </w:r>
      <w:r>
        <w:t xml:space="preserve"> </w:t>
      </w:r>
      <w:r>
        <w:t xml:space="preserve">“</w:t>
      </w:r>
      <w:r>
        <w:t xml:space="preserve">very much</w:t>
      </w:r>
      <w:r>
        <w:t xml:space="preserve">”</w:t>
      </w:r>
      <w:r>
        <w:t xml:space="preserve">) and the even split over whether online study counted as class. One available reading is language investment (Norton, 2013; Darvin &amp; Norton, 2023). A student may still want Chinese and yet not be invested in the practices of a given class if the daily cost (data, a lively house, a job, a class that will not load) is higher than the return. Women in this sample more often refused to count emergency remote teaching as campus. That is a judgement about legitimacy, not a score on an investment scale.</w:t>
      </w:r>
    </w:p>
    <w:p>
      <w:pPr>
        <w:pStyle w:val="BodyText"/>
      </w:pPr>
      <w:r>
        <w:t xml:space="preserve">We do not need that reading in order to report the associations. We use it because Hajar and Karakuş (2024) have asked this journal for evidence on international students of languages other than English, and because withdrawal under cost is a recognised part of the investment literature. Campus Chinese offers embodied speaking practice. Home emergency teaching, on these items, offered thinner interaction and mixed appraisal. That is a plausible loss of oral practice, not a measured loss of oral capital (Darvin &amp; Norton, 2015). Readers who find the metaphor too loose can treat Section 6.3 as optional.</w:t>
      </w:r>
    </w:p>
    <w:bookmarkEnd w:id="43"/>
    <w:bookmarkStart w:id="44" w:name="X3f41d7067da38714b0f13e8cb605b5ccc918580"/>
    <w:p>
      <w:pPr>
        <w:pStyle w:val="Heading3"/>
      </w:pPr>
      <w:r>
        <w:t xml:space="preserve">6.4 What the localisation claim does and does not say</w:t>
      </w:r>
    </w:p>
    <w:p>
      <w:pPr>
        <w:pStyle w:val="FirstParagraph"/>
      </w:pPr>
      <w:r>
        <w:t xml:space="preserve">ICLE debates on localisation often ask whether a textbook should replace Beijing place names with local names, or whether festival content needs Islamic-context mediation. Those questions belong in work on materials in Pakistani universities. They are not this paper. The present claim is narrower and sits inside curriculum implementation: a culturally adapted lesson still fails if it is a synchronous oral hour delivered into load-shedding or onto an application that does not open. In the emergency, the programme ecology was a Chinese-university timetable, the users sat mainly in Pakistani houses, and the material was a live class that assumed campus conditions.</w:t>
      </w:r>
    </w:p>
    <w:p>
      <w:pPr>
        <w:pStyle w:val="BodyText"/>
      </w:pPr>
      <w:r>
        <w:t xml:space="preserve">What follows for course design is modest and local to this sample. It is not a programme for Chinese language localisation in Pakistan, and it is not a theory of digital inequality in general. It is a set of delivery checks implied by this cohort: asynchronous oral alternatives that survive low bandwidth; progression decisions that do not assume a campus oral hour; prepaid data treated as a language-learning resource; timetables that name Beijing time when students sit in Pakistan; and a usable classroom defined by the application that opens. WhatsApp was marked available here; it was not recorded as used for class. Hybrid ICLE that still copies the campus hour onto Tencent Meeting or Chaoxing, without those checks, repeats the misfit after the pandemic.</w:t>
      </w:r>
    </w:p>
    <w:p>
      <w:pPr>
        <w:pStyle w:val="BodyText"/>
      </w:pPr>
      <w:r>
        <w:t xml:space="preserve">The same households send students to Confucius Institutes and to Chinese universities. Hybrid institute teaching that assumes uninterrupted Zoom reproduces the same misfit. Localisation for Pakistani Chinese teachers has to include checks of power, devices, and mediation language as well as textbook adaptation.</w:t>
      </w:r>
    </w:p>
    <w:p>
      <w:pPr>
        <w:pStyle w:val="BodyText"/>
      </w:pPr>
      <w:r>
        <w:t xml:space="preserve">The sample is 71% male. Digital inequality in Pakistani households is gendered (Raza &amp; Hennessy, 2025), and a Chinese-university sample recruited through male-dense networks will under-represent that pattern. On most ordinals, men and women did not differ. On replacement, women more often said no. On paid work, men more often said yes. The data cannot show how women lived the noisy home, the power cut, or the blocked Chaoxing login. Future work on this corridor should oversample Pakistani women, compare home learners enrolled in China with Confucius Institute learners in the same cities, and follow oral and written skill with tasks rather than only self-report. How</w:t>
      </w:r>
      <w:r>
        <w:t xml:space="preserve"> </w:t>
      </w:r>
      <w:r>
        <w:rPr>
          <w:iCs/>
          <w:i/>
        </w:rPr>
        <w:t xml:space="preserve">HSK Standard Course</w:t>
      </w:r>
      <w:r>
        <w:t xml:space="preserve"> </w:t>
      </w:r>
      <w:r>
        <w:t xml:space="preserve">is used in Pakistani universities is a different paper.</w:t>
      </w:r>
    </w:p>
    <w:bookmarkEnd w:id="44"/>
    <w:bookmarkEnd w:id="45"/>
    <w:bookmarkStart w:id="46" w:name="limitations"/>
    <w:p>
      <w:pPr>
        <w:pStyle w:val="Heading2"/>
      </w:pPr>
      <w:r>
        <w:t xml:space="preserve">7. Limitations</w:t>
      </w:r>
    </w:p>
    <w:p>
      <w:pPr>
        <w:pStyle w:val="FirstParagraph"/>
      </w:pPr>
      <w:r>
        <w:t xml:space="preserve">The sample is small (N = 38). Associations are reported as counts and exact tests in this network; they do not support population odds ratios. It is a male-majority convenience sample of phone users, with nine responses labelled mainland China, so the findings describe this cohort rather than Pakistani women as a group or a census of students in Pakistan that week. Sensitivity analyses on n = 37 and n = 29 do not remove that limit. All outcomes are self-report; there are no HSK scores or oral tasks, and</w:t>
      </w:r>
      <w:r>
        <w:t xml:space="preserve"> </w:t>
      </w:r>
      <w:r>
        <w:t xml:space="preserve">“</w:t>
      </w:r>
      <w:r>
        <w:t xml:space="preserve">advanced</w:t>
      </w:r>
      <w:r>
        <w:t xml:space="preserve">”</w:t>
      </w:r>
      <w:r>
        <w:t xml:space="preserve"> </w:t>
      </w:r>
      <w:r>
        <w:t xml:space="preserve">is a self-rating. Chinese-medium items with non-native wording may have been understood unevenly. The questionnaire does not name the host university, textbook, or award type. Investment was not measured and is not required to read the results. The 2022 collection was not assigned an institutional ethics number. The transferable claim concerns how a campus curriculum was implemented under inequality, not the pandemic as such, and not textbook localisation.</w:t>
      </w:r>
    </w:p>
    <w:bookmarkEnd w:id="46"/>
    <w:bookmarkStart w:id="47" w:name="conclusion"/>
    <w:p>
      <w:pPr>
        <w:pStyle w:val="Heading2"/>
      </w:pPr>
      <w:r>
        <w:t xml:space="preserve">8. Conclusion</w:t>
      </w:r>
    </w:p>
    <w:p>
      <w:pPr>
        <w:pStyle w:val="FirstParagraph"/>
      </w:pPr>
      <w:r>
        <w:t xml:space="preserve">This article has examined one object: the implementation of a Chinese-university language curriculum when the class moved into the household. Pakistani students who learned Chinese through this emergency did not mainly fail to adapt to online learning. Many homes were asked to carry a campus oral hour.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If localisation is to mean more than textbook adaptation, it has, on this corridor, to include delivery: the house, and the application that actually opens. The field has moved on to blended normalisation and generative AI. The inequality in these data has not.</w:t>
      </w:r>
    </w:p>
    <w:bookmarkEnd w:id="47"/>
    <w:bookmarkStart w:id="4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48"/>
    <w:bookmarkEnd w:id="4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2026-08-23T05:43:37Z</dcterms:created>
  <dcterms:modified xsi:type="dcterms:W3CDTF">2026-08-23T05:43:37Z</dcterms:modified>
</cp:coreProperties>
</file>

<file path=docProps/custom.xml><?xml version="1.0" encoding="utf-8"?>
<Properties xmlns="http://schemas.openxmlformats.org/officeDocument/2006/custom-properties" xmlns:vt="http://schemas.openxmlformats.org/officeDocument/2006/docPropsVTypes"/>
</file>