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When Chinese class moved home: Pakistani students, infrastructure, and platform access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is a study of curriculum implementation. It examines how a Chinese-university language course was delivered, under emergency remote teaching, into households structured by digital inequality and uneven platform access. A questionnaire (N = 38; February 2022) shows that 11 of 14 students who said the home affected study</w:t>
      </w:r>
      <w:r>
        <w:t xml:space="preserve"> </w:t>
      </w:r>
      <w:r>
        <w:t xml:space="preserve">“</w:t>
      </w:r>
      <w:r>
        <w:t xml:space="preserve">very much</w:t>
      </w:r>
      <w:r>
        <w:t xml:space="preserve">”</w:t>
      </w:r>
      <w:r>
        <w:t xml:space="preserve"> </w:t>
      </w:r>
      <w:r>
        <w:t xml:space="preserve">also reported very high stress (against 3 of 24 others), that internet speed tracked learning appraisal, and that campus applications such as QQ and Chaoxing were often marked unusable from</w:t>
      </w:r>
      <w:r>
        <w:t xml:space="preserve"> </w:t>
      </w:r>
      <w:r>
        <w:t xml:space="preserve">“</w:t>
      </w:r>
      <w:r>
        <w:t xml:space="preserve">my country.</w:t>
      </w:r>
      <w:r>
        <w:t xml:space="preserve">”</w:t>
      </w:r>
      <w:r>
        <w:t xml:space="preserve"> </w:t>
      </w:r>
      <w:r>
        <w:t xml:space="preserve">Localisation is treated only as a delivery implication of that implementation problem, not as a textbook-adaptation study. The case sits in this journal’s work on additional-language learning outside the classroom and on how students live an institutionalised curriculum.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2026-08-23T05:43:38Z</dcterms:created>
  <dcterms:modified xsi:type="dcterms:W3CDTF">2026-08-23T05:43:38Z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