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e9071a26e2a253abc760e4ae7a86f3c225b62e5"/>
    <w:p>
      <w:pPr>
        <w:pStyle w:val="Heading1"/>
      </w:pPr>
      <w:r>
        <w:t xml:space="preserve">When Chinese class moved home: Pakistani students, infrastructure, and platform access</w:t>
      </w:r>
    </w:p>
    <w:p>
      <w:pPr>
        <w:pStyle w:val="FirstParagraph"/>
      </w:pPr>
      <w:r>
        <w:rPr>
          <w:bCs/>
          <w:b/>
        </w:rPr>
        <w:t xml:space="preserve">Short title:</w:t>
      </w:r>
      <w:r>
        <w:t xml:space="preserve"> </w:t>
      </w:r>
      <w:r>
        <w:t xml:space="preserve">Chinese class at home</w:t>
      </w:r>
    </w:p>
    <w:bookmarkStart w:id="20" w:name="abstract"/>
    <w:p>
      <w:pPr>
        <w:pStyle w:val="Heading2"/>
      </w:pPr>
      <w:r>
        <w:t xml:space="preserve">Abstract</w:t>
      </w:r>
    </w:p>
    <w:p>
      <w:pPr>
        <w:pStyle w:val="FirstParagraph"/>
      </w:pPr>
      <w:r>
        <w:t xml:space="preserve">When Chinese universities moved instruction online, many Pakistani students continued their language courses from households that had not been designed as classrooms. This article is a study of curriculum implementation: it examines how a Chinese-university language course was delivered, under emergency remote teaching, into homes structured by digital inequality and uneven platform access. A questionnaire completed by 38 students in February 2022 (mainly Pakistani; nine responses labelled mainland China) found unstable networks (76.3%), power cuts (42.1%), and homes that were not quiet (71.1%) to be common; 36.8% reported very high stress. Eleven of the 14 students who said the home affected study</w:t>
      </w:r>
      <w:r>
        <w:t xml:space="preserve"> </w:t>
      </w:r>
      <w:r>
        <w:t xml:space="preserve">“</w:t>
      </w:r>
      <w:r>
        <w:t xml:space="preserve">very much</w:t>
      </w:r>
      <w:r>
        <w:t xml:space="preserve">”</w:t>
      </w:r>
      <w:r>
        <w:t xml:space="preserve"> </w:t>
      </w:r>
      <w:r>
        <w:t xml:space="preserve">also reported very high stress, compared with 3 of the 24 others. Worse internet speed tracked worse learning appraisal (ρ = .65). Campus applications such as QQ and Chaoxing were often marked unusable; Zoom and WhatsApp were more often marked available. Half the sample said online study could replace campus classes; women more often said it could not. The implication, bounded by this sample, is that localising delivery on this corridor means fitting the live hour to the household and to the application that opens, not only adapting textbook content.</w:t>
      </w:r>
    </w:p>
    <w:p>
      <w:pPr>
        <w:pStyle w:val="BodyText"/>
      </w:pPr>
      <w:r>
        <w:rPr>
          <w:bCs/>
          <w:b/>
        </w:rPr>
        <w:t xml:space="preserve">Keywords:</w:t>
      </w:r>
      <w:r>
        <w:t xml:space="preserve"> </w:t>
      </w:r>
      <w:r>
        <w:t xml:space="preserve">emergency remote teaching; Chinese as an additional language; digital inequality; curriculum implementation; Pakistan; household</w:t>
      </w:r>
    </w:p>
    <w:bookmarkEnd w:id="20"/>
    <w:bookmarkStart w:id="21" w:name="introduction"/>
    <w:p>
      <w:pPr>
        <w:pStyle w:val="Heading2"/>
      </w:pPr>
      <w:r>
        <w:t xml:space="preserve">1. Introduction</w:t>
      </w:r>
    </w:p>
    <w:p>
      <w:pPr>
        <w:pStyle w:val="FirstParagraph"/>
      </w:pPr>
      <w:r>
        <w:t xml:space="preserve">When Chinese universities moved instruction online in 2020, many Pakistani students were already in Pakistan or soon returned there. They remained enrolled in Chinese-university language courses, yet the classroom they entered was a family home, a hostel, or a room shared with siblings, prepaid mobile data, and load-shedding. Chinese as an additional language did not disappear. What changed was the site at which a campus course had to be lived.</w:t>
      </w:r>
    </w:p>
    <w:p>
      <w:pPr>
        <w:pStyle w:val="BodyText"/>
      </w:pPr>
      <w:r>
        <w:t xml:space="preserve">A Chinese-university language course is more than a textbook and an HSK calendar. It is a planned sequence of live hours, oral tasks, and campus platforms that assume a dormitory, a timetable, and a login that works. Emergency remote teaching (Hodges et al., 2020) kept those elements and changed the place. Learners met the old course plan in households rather than in a redesigned distance-education programme.</w:t>
      </w:r>
    </w:p>
    <w:p>
      <w:pPr>
        <w:pStyle w:val="BodyText"/>
      </w:pPr>
      <w:r>
        <w:t xml:space="preserve">The article is therefore about one thing, not four. Emergency remote teaching is the occasion. Digital inequality and platform access are the mechanism. Localisation of</w:t>
      </w:r>
      <w:r>
        <w:t xml:space="preserve"> </w:t>
      </w:r>
      <w:r>
        <w:rPr>
          <w:iCs/>
          <w:i/>
        </w:rPr>
        <w:t xml:space="preserve">delivery</w:t>
      </w:r>
      <w:r>
        <w:t xml:space="preserve"> </w:t>
      </w:r>
      <w:r>
        <w:t xml:space="preserve">is the implication. The paper is a study of curriculum implementation: how a campus language course was used off campus.</w:t>
      </w:r>
    </w:p>
    <w:p>
      <w:pPr>
        <w:pStyle w:val="BodyText"/>
      </w:pPr>
      <w:r>
        <w:rPr>
          <w:iCs/>
          <w:i/>
        </w:rPr>
        <w:t xml:space="preserve">Curriculum</w:t>
      </w:r>
      <w:r>
        <w:t xml:space="preserve">, accordingly, means the campus delivery plan (the live hour, the oral task, the campus login) when that plan is used away from campus.</w:t>
      </w:r>
      <w:r>
        <w:t xml:space="preserve"> </w:t>
      </w:r>
      <w:r>
        <w:rPr>
          <w:iCs/>
          <w:i/>
        </w:rPr>
        <w:t xml:space="preserve">Culture</w:t>
      </w:r>
      <w:r>
        <w:t xml:space="preserve"> </w:t>
      </w:r>
      <w:r>
        <w:t xml:space="preserve">is used in a narrower sense than textbook representation of Chinese festivals, values, or national images. Work in this journal already treats international students’ experience of Chinese education as a language-and-culture problem (Gao &amp; Hua, 2021; Gong, Gao, Li, &amp; Lai, 2020). Ecological and materials-in-use research locates that problem in the social setting of the class, not only in the page of the book (van Lier, 2004; Guerrettaz et al., 2021). When the class moves into a Pakistani household, the relevant cultural arrangement is who may speak, who owns the phone, whose paid or care work is interrupted, and what a</w:t>
      </w:r>
      <w:r>
        <w:t xml:space="preserve"> </w:t>
      </w:r>
      <w:r>
        <w:t xml:space="preserve">“</w:t>
      </w:r>
      <w:r>
        <w:t xml:space="preserve">Chinese class</w:t>
      </w:r>
      <w:r>
        <w:t xml:space="preserve">”</w:t>
      </w:r>
      <w:r>
        <w:t xml:space="preserve"> </w:t>
      </w:r>
      <w:r>
        <w:t xml:space="preserve">is allowed to mean in family space (Norton, 2013; Raza &amp; Hennessy, 2025). That is culture as the social world of additional-language practice. It is not an ethnography of Pakistani values, and it is not an analysis of how China is represented in</w:t>
      </w:r>
      <w:r>
        <w:t xml:space="preserve"> </w:t>
      </w:r>
      <w:r>
        <w:rPr>
          <w:iCs/>
          <w:i/>
        </w:rPr>
        <w:t xml:space="preserve">HSK Standard Course</w:t>
      </w:r>
      <w:r>
        <w:t xml:space="preserve">.</w:t>
      </w:r>
    </w:p>
    <w:p>
      <w:pPr>
        <w:pStyle w:val="BodyText"/>
      </w:pPr>
      <w:r>
        <w:t xml:space="preserve">Research on COVID-19 and language education documented teacher coping, task redesign, and learner anxiety, mainly in English-language classrooms or in China-based programmes (MacIntyre et al., 2020; Gacs et al., 2020; Moorhouse &amp; Kohnke, 2021; Xia et al., 2022). International Chinese Language Education (ICLE) has asked how textbooks, tests, and cultural content travel into overseas programmes (Zhao &amp; Huang, 2010; Gong, Gao, &amp; Lyu, 2020), and how international students experience language and culture</w:t>
      </w:r>
      <w:r>
        <w:t xml:space="preserve"> </w:t>
      </w:r>
      <w:r>
        <w:rPr>
          <w:iCs/>
          <w:i/>
        </w:rPr>
        <w:t xml:space="preserve">in</w:t>
      </w:r>
      <w:r>
        <w:t xml:space="preserve"> </w:t>
      </w:r>
      <w:r>
        <w:t xml:space="preserve">Chinese universities (Gao &amp; Hua, 2021; Gong, Gao, Li, &amp; Lai, 2020). Far less is known about Pakistani students who belong to Chinese universities but study Chinese from homes outside the Chinese campus network. That interrupted South-South route is the reverse of the usual</w:t>
      </w:r>
      <w:r>
        <w:t xml:space="preserve"> </w:t>
      </w:r>
      <w:r>
        <w:t xml:space="preserve">“</w:t>
      </w:r>
      <w:r>
        <w:t xml:space="preserve">international student in China</w:t>
      </w:r>
      <w:r>
        <w:t xml:space="preserve">”</w:t>
      </w:r>
      <w:r>
        <w:t xml:space="preserve"> </w:t>
      </w:r>
      <w:r>
        <w:t xml:space="preserve">account.</w:t>
      </w:r>
    </w:p>
    <w:p>
      <w:pPr>
        <w:pStyle w:val="BodyText"/>
      </w:pPr>
      <w:r>
        <w:t xml:space="preserve">The field has since moved on. Digital tools have become ordinary in many face-to-face language classrooms (Moorhouse, 2023; Moorhouse, Wong, &amp; Li, 2023), and later work asks how generative AI reconfigures access (Darvin, 2025). Hybrid ICLE and HSK delivery, however, still often assume a login, a bandwidth, and a quiet room. The first question on this corridor is more basic: who could enter the class at all?</w:t>
      </w:r>
    </w:p>
    <w:p>
      <w:pPr>
        <w:pStyle w:val="BodyText"/>
      </w:pPr>
      <w:r>
        <w:t xml:space="preserve">This article reports a questionnaire completed by 38 students between 5 and 8 February 2022. It asks how digital inequality, including which Chinese-campus platforms opened from homes outside the campus network, related to participation in Chinese class under emergency remote teaching. Three questions guide the analysis:</w:t>
      </w:r>
    </w:p>
    <w:p>
      <w:pPr>
        <w:numPr>
          <w:ilvl w:val="0"/>
          <w:numId w:val="1001"/>
        </w:numPr>
        <w:pStyle w:val="Compact"/>
      </w:pPr>
      <w:r>
        <w:t xml:space="preserve">Which material, domestic, and platform conditions characterised emergency remote Chinese classes in this sample?</w:t>
      </w:r>
    </w:p>
    <w:p>
      <w:pPr>
        <w:numPr>
          <w:ilvl w:val="0"/>
          <w:numId w:val="1001"/>
        </w:numPr>
        <w:pStyle w:val="Compact"/>
      </w:pPr>
      <w:r>
        <w:t xml:space="preserve">How were those conditions related to stress, teacher interaction, and perceived learning?</w:t>
      </w:r>
    </w:p>
    <w:p>
      <w:pPr>
        <w:numPr>
          <w:ilvl w:val="0"/>
          <w:numId w:val="1001"/>
        </w:numPr>
        <w:pStyle w:val="Compact"/>
      </w:pPr>
      <w:r>
        <w:t xml:space="preserve">Did learners treat online Chinese as a legitimate substitute for campus study, and did that judgement differ by gender or by how much they thought they had learned?</w:t>
      </w:r>
    </w:p>
    <w:p>
      <w:pPr>
        <w:pStyle w:val="FirstParagraph"/>
      </w:pPr>
      <w:r>
        <w:t xml:space="preserve">The contribution is empirical and curricular. The study describes household infrastructure, platform access, and participation among Pakistani (and one neighbouring) students of Chinese-university language courses. It reads those findings through sequential digital inequality (van Dijk, 2020) and home ecology. Language investment (Norton, 2013; Darvin &amp; Norton, 2015, 2023) is used only in the discussion, as a way of interpreting thin interaction and the split over whether online study counted as class. It is not a third measured construct and it is not required to follow the results. The practical claim is bounded: localising</w:t>
      </w:r>
      <w:r>
        <w:t xml:space="preserve"> </w:t>
      </w:r>
      <w:r>
        <w:rPr>
          <w:iCs/>
          <w:i/>
        </w:rPr>
        <w:t xml:space="preserve">delivery</w:t>
      </w:r>
      <w:r>
        <w:t xml:space="preserve"> </w:t>
      </w:r>
      <w:r>
        <w:t xml:space="preserve">on this corridor has to include the household and the application that opens, not only the cultural content of textbooks.</w:t>
      </w:r>
    </w:p>
    <w:bookmarkEnd w:id="21"/>
    <w:bookmarkStart w:id="26" w:name="literature-review"/>
    <w:p>
      <w:pPr>
        <w:pStyle w:val="Heading2"/>
      </w:pPr>
      <w:r>
        <w:t xml:space="preserve">2. Literature review</w:t>
      </w:r>
    </w:p>
    <w:bookmarkStart w:id="22" w:name="X68dd8ebeb22cc7a16b333349dc5f722ace7abd5"/>
    <w:p>
      <w:pPr>
        <w:pStyle w:val="Heading3"/>
      </w:pPr>
      <w:r>
        <w:t xml:space="preserve">2.1 Emergency remote teaching and the copy of the campus hour</w:t>
      </w:r>
    </w:p>
    <w:p>
      <w:pPr>
        <w:pStyle w:val="FirstParagraph"/>
      </w:pPr>
      <w:r>
        <w:t xml:space="preserve">Hodges et al. (2020) distinguished emergency remote teaching from planned online or blended courses. The former is a temporary shift under crisis and does not follow a full instructional design cycle. Gacs, Goertler and Spasova (2020) applied that distinction to languages and warned against judging crisis teaching by the standards of mature online programmes. Reviews of teacher responses (Moorhouse &amp; Kohnke, 2021) and of learner affect (MacIntyre et al., 2020) report thinner interaction, anxious assessment, and the entry of the domestic setting into the lesson.</w:t>
      </w:r>
    </w:p>
    <w:p>
      <w:pPr>
        <w:pStyle w:val="BodyText"/>
      </w:pPr>
      <w:r>
        <w:t xml:space="preserve">Later work relocated rather than cancelled the distinction. Moorhouse, Wong and Li (2023) describe technological normalisation: tools becoming ordinary in everyday teaching. Moorhouse (2023) found that, in a well-resourced setting, many teachers kept digital tools after they returned to the physical classroom. Stockwell and Wang (2023) note a narrower pattern. Much emergency teaching used videoconferencing to copy face-to-face teaching, and that copy still shapes how teachers, learners, and administrators judge</w:t>
      </w:r>
      <w:r>
        <w:t xml:space="preserve"> </w:t>
      </w:r>
      <w:r>
        <w:t xml:space="preserve">“</w:t>
      </w:r>
      <w:r>
        <w:t xml:space="preserve">technology.</w:t>
      </w:r>
      <w:r>
        <w:t xml:space="preserve">”</w:t>
      </w:r>
      <w:r>
        <w:t xml:space="preserve"> </w:t>
      </w:r>
      <w:r>
        <w:t xml:space="preserve">For Chinese, the same years produced papers on</w:t>
      </w:r>
      <w:r>
        <w:t xml:space="preserve"> </w:t>
      </w:r>
      <w:r>
        <w:t xml:space="preserve">“</w:t>
      </w:r>
      <w:r>
        <w:t xml:space="preserve">suspending classes without stopping learning,</w:t>
      </w:r>
      <w:r>
        <w:t xml:space="preserve">”</w:t>
      </w:r>
      <w:r>
        <w:t xml:space="preserve"> </w:t>
      </w:r>
      <w:r>
        <w:t xml:space="preserve">platform trials, and blended models (Zhang et al., 2020; Xia et al., 2022). A later review of online ICLE still lists technical issues, weak interaction, and time-zone problems among the limits of blended teaching (Li &amp; Li, 2024). Much of that work assumes a Chinese campus system at one end of the link and a fairly stable connection at the other. That assumption does not travel automatically to Pakistan.</w:t>
      </w:r>
    </w:p>
    <w:bookmarkEnd w:id="22"/>
    <w:bookmarkStart w:id="23" w:name="digital-inequality-beyond-the-device"/>
    <w:p>
      <w:pPr>
        <w:pStyle w:val="Heading3"/>
      </w:pPr>
      <w:r>
        <w:t xml:space="preserve">2.2 Digital inequality beyond the device</w:t>
      </w:r>
    </w:p>
    <w:p>
      <w:pPr>
        <w:pStyle w:val="FirstParagraph"/>
      </w:pPr>
      <w:r>
        <w:t xml:space="preserve">Early digital-divide research asked who had a computer. Later models describe a sequence (van Dijk, 2020; Helsper, 2021): motivational access, material access, skills access, usage access, and outcomes. A student may own a smartphone and still lack a quiet hour, a prepaid balance, a keyboard suited to character input, or the skill to move between a live class and a PDF textbook. Warschauer (2003) argued that language learning on screens is stratified by these layers. Emergency remote teaching compressed them into one domestic scene.</w:t>
      </w:r>
    </w:p>
    <w:p>
      <w:pPr>
        <w:pStyle w:val="BodyText"/>
      </w:pPr>
      <w:r>
        <w:t xml:space="preserve">Owning a device is not the same as taking part. Rural-urban and household inequalities continue to shape who can sit in a live class (Ali, 2020). In Pakistan the household is also structured by gender. Raza and Hennessy (2025) show that girls’ home use of educational technology is shaped by device sharing, parental digital literacy, care work, and norms about who may be online, together with electricity and prepaid data. Students enrolled in China but studying from Pakistan occupied a third position. They were counted as Chinese-university students, assessed by Chinese-university rules, and physically located in Pakistani digital inequality. Which application opened is part of that inequality. Campus Chinese tools (QQ groups, Chaoxing, DingTalk) and consumer tools that work on Pakistani mobile networks (Zoom, WhatsApp) are not interchangeable logins. Copying the campus system into an offshore household can leave the official classroom on an application the student cannot enter.</w:t>
      </w:r>
    </w:p>
    <w:bookmarkEnd w:id="23"/>
    <w:bookmarkStart w:id="24" w:name="X75f45f70ef24a8c055acda28896abcb2b6eeb84"/>
    <w:p>
      <w:pPr>
        <w:pStyle w:val="Heading3"/>
      </w:pPr>
      <w:r>
        <w:t xml:space="preserve">2.3 Participation, not a measured investment scale</w:t>
      </w:r>
    </w:p>
    <w:p>
      <w:pPr>
        <w:pStyle w:val="FirstParagraph"/>
      </w:pPr>
      <w:r>
        <w:t xml:space="preserve">Motivation research can describe who wants to learn Chinese. It is weaker on who can act as a learner on a given afternoon. Norton’s (2013) construct of investment links identity, capital, and ideology, and Darvin and Norton (2023) distinguish it from motivation: a learner may still want Chinese and yet not be invested in the practices of a given class if those practices are unworkable. Hajar and Karakuş (2024) place the (dis)investment of international students in languages other than English on this journal’s agenda. Wen and Liu (2025) show that advanced learners of Chinese live pride, burnout, and anxiety across classroom scenes that, under emergency remote teaching, were filtered through the household.</w:t>
      </w:r>
    </w:p>
    <w:p>
      <w:pPr>
        <w:pStyle w:val="BodyText"/>
      </w:pPr>
      <w:r>
        <w:t xml:space="preserve">That literature is used later as a discussion lens, not as the design of the questionnaire. The form did not ask about identity, imagined return, or withdrawal. What it recorded is participation: teacher interaction, learning appraisal, and whether online Chinese was judged a substitute for campus study. COVID-19 was also a linguistic crisis (Piller, Zhang, &amp; Li, 2020). A live Chinese class on an unfamiliar platform is a language-access problem as well as a technical one.</w:t>
      </w:r>
    </w:p>
    <w:bookmarkEnd w:id="24"/>
    <w:bookmarkStart w:id="25" w:name="icle-on-the-pakistan-corridor"/>
    <w:p>
      <w:pPr>
        <w:pStyle w:val="Heading3"/>
      </w:pPr>
      <w:r>
        <w:t xml:space="preserve">2.4 ICLE on the Pakistan corridor</w:t>
      </w:r>
    </w:p>
    <w:p>
      <w:pPr>
        <w:pStyle w:val="FirstParagraph"/>
      </w:pPr>
      <w:r>
        <w:t xml:space="preserve">China’s promotion of Chinese as an international language has long been tied to institutes, textbooks, and tests (Zhao &amp; Huang, 2010). Pakistani interest in Chinese is bound up with the China-Pakistan Economic Corridor, scholarships, and employment, and that demand remains live in Punjab and Sindh (Iftikhar et al., 2024). Attitude studies rarely capture the course that was supposed to produce the proficiency, namely the Chinese-university language class, when the student could not be on campus.</w:t>
      </w:r>
    </w:p>
    <w:p>
      <w:pPr>
        <w:pStyle w:val="BodyText"/>
      </w:pPr>
      <w:r>
        <w:t xml:space="preserve">ICLE research after COVID-19 has turned toward blended models, interaction design, and cultural adaptation (Gong, Gao, &amp; Lyu, 2020; Li &amp; Li, 2024). Guenier, Xing and Yan (2026) describe a designed multimodal online course that communicates Chinese culture to Irish learners. That is planned online teaching, not emergency remote teaching. Gong, Gao, Li and Lai (2020) document New Zealand students’ cultural adaptation while they were physically in China; Gao and Hua (2021) collected that campus-in-China agenda in this journal. Work based in Pakistani universities has begun to document localisation of</w:t>
      </w:r>
      <w:r>
        <w:t xml:space="preserve"> </w:t>
      </w:r>
      <w:r>
        <w:rPr>
          <w:iCs/>
          <w:i/>
        </w:rPr>
        <w:t xml:space="preserve">HSK Standard Course</w:t>
      </w:r>
      <w:r>
        <w:t xml:space="preserve">, including Urdu annotation and programme fit inside Pakistan (Lu et al., 2024). Those studies concern programmes in Pakistan. The present students were enrolled in Chinese universities. The two groups share a language, a test culture, and often a textbook family. They do not share a campus. Adapting a book for a Pakistani institute is not the same task as keeping a Chinese-university language course alive in a Karachi or Lahore household at 21:00 after a power cut.</w:t>
      </w:r>
    </w:p>
    <w:p>
      <w:pPr>
        <w:pStyle w:val="BodyText"/>
      </w:pPr>
      <w:r>
        <w:t xml:space="preserve">Guerrettaz et al. (2021) treat materials as what happens in use. Under emergency remote teaching the material was a live class and the use was a phone in a shared room. Curriculum research that stops at the page of the book will miss that scene. Shan and Xu (2024) show that students experience an institutionalised language curriculum as a fixed pathway they may also negotiate. The students in this study were asked to follow a Chinese-university pathway from sites that often could not hold a campus oral hour.</w:t>
      </w:r>
    </w:p>
    <w:p>
      <w:pPr>
        <w:pStyle w:val="BodyText"/>
      </w:pPr>
      <w:r>
        <w:t xml:space="preserve">Post-pandemic CALL has moved toward normalisation and AI, often in English classrooms with working campus Wi-Fi (Moorhouse et al., 2023; Darvin, 2025). Digital-inequality research under-represents additional-language classrooms. Pakistan EdTech gender work has so far spoken mainly about school homes (Raza &amp; Hennessy, 2025). ICLE localisation research under-represents the home as a site of</w:t>
      </w:r>
      <w:r>
        <w:t xml:space="preserve"> </w:t>
      </w:r>
      <w:r>
        <w:rPr>
          <w:iCs/>
          <w:i/>
        </w:rPr>
        <w:t xml:space="preserve">delivery</w:t>
      </w:r>
      <w:r>
        <w:t xml:space="preserve">, and under-represents which Chinese-campus applications open from phones outside China. The present study addresses that gap at the point where a campus curriculum entered the household.</w:t>
      </w:r>
    </w:p>
    <w:bookmarkEnd w:id="25"/>
    <w:bookmarkEnd w:id="26"/>
    <w:bookmarkStart w:id="27" w:name="theoretical-framework"/>
    <w:p>
      <w:pPr>
        <w:pStyle w:val="Heading2"/>
      </w:pPr>
      <w:r>
        <w:t xml:space="preserve">3. Theoretical framework</w:t>
      </w:r>
    </w:p>
    <w:p>
      <w:pPr>
        <w:pStyle w:val="FirstParagraph"/>
      </w:pPr>
      <w:r>
        <w:t xml:space="preserve">The study uses a two-layer material-context model (Figure 1). The model is a reading of the questionnaire, not a tested path and not a structural equation.</w:t>
      </w:r>
    </w:p>
    <w:p>
      <w:pPr>
        <w:pStyle w:val="BodyText"/>
      </w:pPr>
      <w:r>
        <w:t xml:space="preserve">The first layer is sequential digital inequality, including platform geography (van Dijk, 2020). Electricity, devices, bandwidth, and time are ordered resources. Which application opens is part of that sequence: campus Chinese tools and consumer tools that work on Pakistani mobile networks are not interchangeable logins. Absence at an earlier layer blocks later ones. Without power there is no live class. Without a usable login there is little interaction even if the class is on.</w:t>
      </w:r>
    </w:p>
    <w:p>
      <w:pPr>
        <w:pStyle w:val="BodyText"/>
      </w:pPr>
      <w:r>
        <w:t xml:space="preserve">The second layer is home ecology (van Lier, 2004; Guerrettaz et al., 2021). The unit of analysis is the household rather than</w:t>
      </w:r>
      <w:r>
        <w:t xml:space="preserve"> </w:t>
      </w:r>
      <w:r>
        <w:t xml:space="preserve">“</w:t>
      </w:r>
      <w:r>
        <w:t xml:space="preserve">the student plus the application</w:t>
      </w:r>
      <w:r>
        <w:t xml:space="preserve">”</w:t>
      </w:r>
      <w:r>
        <w:t xml:space="preserve">: shared rooms, family labour, gendered domestic space, and the China-Pakistan time difference. Emergency remote teaching relocated the Chinese classroom into this ecology without redesigning the lesson or the house.</w:t>
      </w:r>
    </w:p>
    <w:p>
      <w:pPr>
        <w:pStyle w:val="BodyText"/>
      </w:pPr>
      <w:r>
        <w:t xml:space="preserve">The outcomes recorded on the form are stress, teacher interaction, perceived learning (a three-item appraisal: learned much, improves Chinese, sparks interest), and whether online study was judged a substitute for campus classes. Language investment is not a third layer of the model. It is introduced only in the discussion, as one way of reading thin participation. Readers who prefer a digital-inequality account can stop at the two layers and the results.</w:t>
      </w:r>
    </w:p>
    <w:p>
      <w:pPr>
        <w:pStyle w:val="BodyText"/>
      </w:pPr>
      <w:r>
        <w:t xml:space="preserve">Figure 1. Material-context model of emergency remote Chinese learning. Sequential digital inequality (power, signal, speed, and which application opens) and home ecology (space, family, paid work) are concurrent conditions. They are read as shaping participation and the self-reported outcomes of stress, interaction, learning appraisal, and the replacement judgement. The figure is a reading model, not a tested path. Investment is not shown.</w:t>
      </w:r>
    </w:p>
    <w:bookmarkEnd w:id="27"/>
    <w:bookmarkStart w:id="33" w:name="the-study"/>
    <w:p>
      <w:pPr>
        <w:pStyle w:val="Heading2"/>
      </w:pPr>
      <w:r>
        <w:t xml:space="preserve">4. The study</w:t>
      </w:r>
    </w:p>
    <w:bookmarkStart w:id="28" w:name="context-and-design"/>
    <w:p>
      <w:pPr>
        <w:pStyle w:val="Heading3"/>
      </w:pPr>
      <w:r>
        <w:t xml:space="preserve">4.1 Context and design</w:t>
      </w:r>
    </w:p>
    <w:p>
      <w:pPr>
        <w:pStyle w:val="FirstParagraph"/>
      </w:pPr>
      <w:r>
        <w:t xml:space="preserve">Respondents were enrolled in Chinese-university language courses that had moved online. In early February 2022 many Pakistani students were at home rather than in a Chinese dormitory; nine responses were still labelled mainland China. The course they were expected to attend assumed a campus timetable, a live oral hour, and a login on a Chinese-campus platform. The household, the power supply, and the applications that opened from a Pakistani mobile network were not part of that plan. The questionnaire does not name the host university, the textbook, or an HSK target. Curriculum here means that campus delivery plan as lived.</w:t>
      </w:r>
    </w:p>
    <w:p>
      <w:pPr>
        <w:pStyle w:val="BodyText"/>
      </w:pPr>
      <w:r>
        <w:t xml:space="preserve">The study is a cross-sectional questionnaire of how that course was experienced from wherever the student sat that week. Data come from a Chinese-medium Wenjuan questionnaire on influencing factors in international students’ online Chinese learning during COVID-19 (38 complete cases, 5 to 8 February 2022).</w:t>
      </w:r>
    </w:p>
    <w:bookmarkEnd w:id="28"/>
    <w:bookmarkStart w:id="29" w:name="participants"/>
    <w:p>
      <w:pPr>
        <w:pStyle w:val="Heading3"/>
      </w:pPr>
      <w:r>
        <w:t xml:space="preserve">4.2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(Bangladesh). Self-rated Chinese level was mostly advanced (22, 57.9%) or intermediate (15, 39.5%); one beginner. That label is the student’s own, not an HSK band. Years of learning Chinese clustered at three to four years (26, 68.4%). All submissions used a phone (iPhone 24, 63.2%; Android 14). Device ownership was therefore not the main gap. IP geolocation placed nine responses in mainland China and 29 elsewhere. The main analysis keeps all 38 cases. The form did not ask whether the student held a China Scholarship Council award, so the sample is described as Chinese-university language students.</w:t>
      </w:r>
    </w:p>
    <w:p>
      <w:pPr>
        <w:pStyle w:val="BodyText"/>
      </w:pPr>
      <w:r>
        <w:t xml:space="preserve">The sample is a network-recruited convenience sample, not a draw from all Pakistani students in Chinese universities. Scholarship routes from Pakistan have long been male-heavy in some tracks, and a questionnaire link passed through student networks will reproduce that skew. Eleven women are too few to describe Pakistani women’s home classrooms. Percentages for the whole sample therefore combine men’s experience with a small female minority. Gender is tested where the instrument allows (research question 3). Non-significant gender tests are treated as inconclusive.</w:t>
      </w:r>
    </w:p>
    <w:bookmarkEnd w:id="29"/>
    <w:bookmarkStart w:id="30" w:name="instrument"/>
    <w:p>
      <w:pPr>
        <w:pStyle w:val="Heading3"/>
      </w:pPr>
      <w:r>
        <w:t xml:space="preserve">4.3 Instrument</w:t>
      </w:r>
    </w:p>
    <w:p>
      <w:pPr>
        <w:pStyle w:val="FirstParagraph"/>
      </w:pPr>
      <w:r>
        <w:t xml:space="preserve">The questionnaire comprised about 30 items: demographics, single-choice ordinals, and multiple-response lists of courses, problems, platforms, and forms of interaction. Stems are in Chinese, with some non-native wording (for example 您尝尝用什么平台). We translate for reporting and analysed the coded values.</w:t>
      </w:r>
    </w:p>
    <w:p>
      <w:pPr>
        <w:pStyle w:val="BodyText"/>
      </w:pPr>
      <w:r>
        <w:t xml:space="preserve">A learning-appraisal composite was formed from three same-direction ordinals (learned much; improves Chinese; sparks interest). Cronbach’s α = .84. Higher scores on the composites used below indicate a worse condition or a thinner outcome: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1 means</w:t>
            </w:r>
          </w:p>
        </w:tc>
        <w:tc>
          <w:tcPr/>
          <w:p>
            <w:pPr>
              <w:pStyle w:val="Compact"/>
              <w:jc w:val="left"/>
            </w:pPr>
            <w:r>
              <w:t xml:space="preserve">Higher means</w:t>
            </w:r>
          </w:p>
        </w:tc>
      </w:tr>
      <w:tr>
        <w:tc>
          <w:tcPr/>
          <w:p>
            <w:pPr>
              <w:pStyle w:val="Compact"/>
              <w:jc w:val="left"/>
            </w:pPr>
            <w:r>
              <w:t xml:space="preserve">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Learned / improve / interest</w:t>
            </w:r>
          </w:p>
        </w:tc>
        <w:tc>
          <w:tcPr/>
          <w:p>
            <w:pPr>
              <w:pStyle w:val="Compact"/>
              <w:jc w:val="left"/>
            </w:pPr>
            <w:r>
              <w:t xml:space="preserve">a lot / very much</w:t>
            </w:r>
          </w:p>
        </w:tc>
        <w:tc>
          <w:tcPr/>
          <w:p>
            <w:pPr>
              <w:pStyle w:val="Compact"/>
              <w:jc w:val="left"/>
            </w:pPr>
            <w:r>
              <w:t xml:space="preserve">worse appraisal</w:t>
            </w:r>
          </w:p>
        </w:tc>
      </w:tr>
      <w:tr>
        <w:tc>
          <w:tcPr/>
          <w:p>
            <w:pPr>
              <w:pStyle w:val="Compact"/>
              <w:jc w:val="left"/>
            </w:pPr>
            <w:r>
              <w:t xml:space="preserve">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Teacher interaction</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One open comment on preferred class length is retained:</w:t>
      </w:r>
      <w:r>
        <w:t xml:space="preserve"> </w:t>
      </w:r>
      <w:r>
        <w:t xml:space="preserve">“</w:t>
      </w:r>
      <w:r>
        <w:t xml:space="preserve">我觉得中国现在让学生回来上课。在线上上课一分钟也不合适</w:t>
      </w:r>
      <w:r>
        <w:t xml:space="preserve">”</w:t>
      </w:r>
      <w:r>
        <w:t xml:space="preserve"> </w:t>
      </w:r>
      <w:r>
        <w:t xml:space="preserve">(I think China should have students come back to class now. Even one minute of online class is not suitable). Names, IP addresses, and exact timestamps beyond the date were removed before analysis.</w:t>
      </w:r>
    </w:p>
    <w:bookmarkEnd w:id="30"/>
    <w:bookmarkStart w:id="31" w:name="analysis"/>
    <w:p>
      <w:pPr>
        <w:pStyle w:val="Heading3"/>
      </w:pPr>
      <w:r>
        <w:t xml:space="preserve">4.4 Analysis</w:t>
      </w:r>
    </w:p>
    <w:p>
      <w:pPr>
        <w:pStyle w:val="FirstParagraph"/>
      </w:pPr>
      <w:r>
        <w:t xml:space="preserve">Frequencies are reported as n/38. Multiple-response items are the percentage of respondents who selected the option. The learning-appraisal score is the mean of learned, improve, and interest (higher = worse). With N = 38 the analysis is exploratory and descriptive. We report cell counts first. For 2×2 tables we add Fisher’s exact test, φ, and an odds ratio with a 95% confidence interval only as a compact summary of those counts. The intervals are too wide to support population inference, and they should not be read as precise effect sizes. For ordinal pairs we used Spearman’s ρ, likewise as a rank association in this sample. Gender differences on ordinals were checked with Mann-Whitney U (all</w:t>
      </w:r>
      <w:r>
        <w:t xml:space="preserve"> </w:t>
      </w:r>
      <w:r>
        <w:rPr>
          <w:iCs/>
          <w:i/>
        </w:rPr>
        <w:t xml:space="preserve">p</w:t>
      </w:r>
      <w:r>
        <w:t xml:space="preserve"> </w:t>
      </w:r>
      <w:r>
        <w:t xml:space="preserve">&gt; .10). Sensitivity analyses repeat the two focal patterns among Pakistani respondents only (n = 37) and among cases whose IP was not labelled mainland China (n = 29).</w:t>
      </w:r>
      <w:r>
        <w:t xml:space="preserve"> </w:t>
      </w:r>
      <w:r>
        <w:rPr>
          <w:iCs/>
          <w:i/>
        </w:rPr>
        <w:t xml:space="preserve">p</w:t>
      </w:r>
      <w:r>
        <w:t xml:space="preserve"> </w:t>
      </w:r>
      <w:r>
        <w:t xml:space="preserve">values are not Bonferroni-adjusted.</w:t>
      </w:r>
    </w:p>
    <w:bookmarkEnd w:id="31"/>
    <w:bookmarkStart w:id="32" w:name="ethics"/>
    <w:p>
      <w:pPr>
        <w:pStyle w:val="Heading3"/>
      </w:pPr>
      <w:r>
        <w:t xml:space="preserve">4.5 Ethics</w:t>
      </w:r>
    </w:p>
    <w:p>
      <w:pPr>
        <w:pStyle w:val="FirstParagraph"/>
      </w:pPr>
      <w:r>
        <w:t xml:space="preserve">Adult students completed an online questionnaire presented as research on online Chinese learning. Submission of the form was treated as consent to use anonymised answers. Names, IP addresses, and exact timestamps beyond the collection dates were removed before analysis and are not published. Gender is reported because it structured one finding.</w:t>
      </w:r>
    </w:p>
    <w:bookmarkEnd w:id="32"/>
    <w:bookmarkEnd w:id="33"/>
    <w:bookmarkStart w:id="40" w:name="results"/>
    <w:p>
      <w:pPr>
        <w:pStyle w:val="Heading2"/>
      </w:pPr>
      <w:r>
        <w:t xml:space="preserve">5. Results</w:t>
      </w:r>
    </w:p>
    <w:bookmarkStart w:id="34" w:name="who-sat-in-the-class"/>
    <w:p>
      <w:pPr>
        <w:pStyle w:val="Heading3"/>
      </w:pPr>
      <w:r>
        <w:t xml:space="preserve">5.1 Who sat in the class</w:t>
      </w:r>
    </w:p>
    <w:p>
      <w:pPr>
        <w:pStyle w:val="FirstParagraph"/>
      </w:pPr>
      <w:r>
        <w:t xml:space="preserve">Table 1 locates the sample. It is small, phone-based, and majority male. Most respondents (78.9%) said all of their Chinese classes were online. More than half (57.9%) were working alongside study. Nine IP addresses were labelled mainland China. The analysis therefore describes an interrupted Chinese-university cohort rather than a group in which everyone sat in Pakistan that week.</w:t>
      </w:r>
    </w:p>
    <w:p>
      <w:pPr>
        <w:pStyle w:val="BodyText"/>
      </w:pPr>
      <w:r>
        <w:rPr>
          <w:bCs/>
          <w:b/>
        </w:rPr>
        <w:t xml:space="preserve">Table 1</w:t>
      </w:r>
    </w:p>
    <w:p>
      <w:pPr>
        <w:pStyle w:val="BodyText"/>
      </w:pPr>
      <w:r>
        <w:rPr>
          <w:iCs/>
          <w:i/>
        </w:rPr>
        <w:t xml:space="preserve">Demographic and study profile of 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Phone: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IP geolocated in mainland China</w:t>
            </w:r>
          </w:p>
        </w:tc>
        <w:tc>
          <w:tcPr/>
          <w:p>
            <w:pPr>
              <w:pStyle w:val="Compact"/>
              <w:jc w:val="right"/>
            </w:pPr>
            <w:r>
              <w:t xml:space="preserve">9</w:t>
            </w:r>
          </w:p>
        </w:tc>
        <w:tc>
          <w:tcPr/>
          <w:p>
            <w:pPr>
              <w:pStyle w:val="Compact"/>
              <w:jc w:val="right"/>
            </w:pPr>
            <w:r>
              <w:t xml:space="preserve">23.7</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w:t>
      </w:r>
    </w:p>
    <w:bookmarkEnd w:id="34"/>
    <w:bookmarkStart w:id="35" w:name="household-conditions-and-stress"/>
    <w:p>
      <w:pPr>
        <w:pStyle w:val="Heading3"/>
      </w:pPr>
      <w:r>
        <w:t xml:space="preserve">5.2 Household conditions and stress</w:t>
      </w:r>
    </w:p>
    <w:p>
      <w:pPr>
        <w:pStyle w:val="FirstParagraph"/>
      </w:pPr>
      <w:r>
        <w:t xml:space="preserve">Table 2 summarises the conditions of study. Unstable networks (76.3%), power cuts (42.1%), and no signal (31.6%) were common. Most respondents (89.5%) said their country</w:t>
      </w:r>
      <w:r>
        <w:t xml:space="preserve"> </w:t>
      </w:r>
      <w:r>
        <w:t xml:space="preserve">“</w:t>
      </w:r>
      <w:r>
        <w:t xml:space="preserve">has internet,</w:t>
      </w:r>
      <w:r>
        <w:t xml:space="preserve">”</w:t>
      </w:r>
      <w:r>
        <w:t xml:space="preserve"> </w:t>
      </w:r>
      <w:r>
        <w:t xml:space="preserve">but speed was split: 36.8% good or very good, 36.8% average, and 26.3% bad or very bad. Four people (10.5%) said there was no internet in their country, yet all 38 submitted an online form. That item is better read as no stable home broadband than as no network at all.</w:t>
      </w:r>
    </w:p>
    <w:p>
      <w:pPr>
        <w:pStyle w:val="BodyText"/>
      </w:pPr>
      <w:r>
        <w:t xml:space="preserve">Only 11 of 38 (28.9%) described the home as quiet; 71.1% chose noisy or lively. Fourteen (36.8%) said the home affected study</w:t>
      </w:r>
      <w:r>
        <w:t xml:space="preserve"> </w:t>
      </w:r>
      <w:r>
        <w:t xml:space="preserve">“</w:t>
      </w:r>
      <w:r>
        <w:t xml:space="preserve">very much.</w:t>
      </w:r>
      <w:r>
        <w:t xml:space="preserve">”</w:t>
      </w:r>
      <w:r>
        <w:t xml:space="preserve"> </w:t>
      </w:r>
      <w:r>
        <w:t xml:space="preserve">All 38 answered from a phone. The Chinese classroom had been moved onto a device that also carries family calls, prepaid data, and a small keyboard for characters.</w:t>
      </w:r>
    </w:p>
    <w:p>
      <w:pPr>
        <w:pStyle w:val="BodyText"/>
      </w:pPr>
      <w:r>
        <w:rPr>
          <w:bCs/>
          <w:b/>
        </w:rPr>
        <w:t xml:space="preserve">Table 2</w:t>
      </w:r>
    </w:p>
    <w:p>
      <w:pPr>
        <w:pStyle w:val="BodyText"/>
      </w:pPr>
      <w:r>
        <w:rPr>
          <w:iCs/>
          <w:i/>
        </w:rPr>
        <w:t xml:space="preserve">Conditions of study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The clearest pattern in the sample is between the home and stress, and it is best read as a count, not as a population odds ratio. Among those who said the home affected study very much, 11 of 14 also reported very high psychological stress; among the others, 3 of 24 did (Fisher</w:t>
      </w:r>
      <w:r>
        <w:t xml:space="preserve"> </w:t>
      </w:r>
      <w:r>
        <w:rPr>
          <w:iCs/>
          <w:i/>
        </w:rPr>
        <w:t xml:space="preserve">p</w:t>
      </w:r>
      <w:r>
        <w:t xml:space="preserve"> </w:t>
      </w:r>
      <w:r>
        <w:t xml:space="preserve">&lt; .001, φ = .66). Spearman’s ρ between that home item and the stress ordinal (1 = very high) was −.66 (</w:t>
      </w:r>
      <w:r>
        <w:rPr>
          <w:iCs/>
          <w:i/>
        </w:rPr>
        <w:t xml:space="preserve">p</w:t>
      </w:r>
      <w:r>
        <w:t xml:space="preserve"> </w:t>
      </w:r>
      <w:r>
        <w:t xml:space="preserve">&lt; .001). Table 4 prints the corresponding odds ratio only as a compact summary of the same 2×2 table; its interval ([4.42, 149.00]) is too wide for inference beyond this sample. The figure that discriminates is the 36.8% who reported very high stress.</w:t>
      </w:r>
    </w:p>
    <w:bookmarkEnd w:id="35"/>
    <w:bookmarkStart w:id="36" w:name="Xcaed1ea785147ce2b7b7bc763c8cc14ebc51e4b"/>
    <w:p>
      <w:pPr>
        <w:pStyle w:val="Heading3"/>
      </w:pPr>
      <w:r>
        <w:t xml:space="preserve">5.3 Platforms that opened and platforms that did not</w:t>
      </w:r>
    </w:p>
    <w:p>
      <w:pPr>
        <w:pStyle w:val="FirstParagraph"/>
      </w:pPr>
      <w:r>
        <w:t xml:space="preserve">Students did not so much lack a platform as they lacked the platform the university was using (Table 3). The tools reported as used for class were Tencent Meeting (71.1%), Zoom (47.4%), and WeChat (31.6%). The tools marked unusable</w:t>
      </w:r>
      <w:r>
        <w:t xml:space="preserve"> </w:t>
      </w:r>
      <w:r>
        <w:t xml:space="preserve">“</w:t>
      </w:r>
      <w:r>
        <w:t xml:space="preserve">in my country</w:t>
      </w:r>
      <w:r>
        <w:t xml:space="preserve">”</w:t>
      </w:r>
      <w:r>
        <w:t xml:space="preserve"> </w:t>
      </w:r>
      <w:r>
        <w:t xml:space="preserve">were QQ (50.0%), Chaoxing (42.1%), DingTalk (28.9%), and Chinese MOOC (28.9%). The tools marked available were Zoom (71.1%), WhatsApp (68.4%), Tencent Meeting (57.9%), and WeChat (39.5%). WhatsApp appears only as available; the questionnaire, as retained here, did not record whether it was used for class. Tencent Meeting was the most used class tool, yet fewer respondents marked it available in their country, a discrepancy that may reflect use while in China or through a virtual private network.</w:t>
      </w:r>
    </w:p>
    <w:p>
      <w:pPr>
        <w:pStyle w:val="BodyText"/>
      </w:pPr>
      <w:r>
        <w:rPr>
          <w:bCs/>
          <w:b/>
        </w:rPr>
        <w:t xml:space="preserve">Table 3</w:t>
      </w:r>
    </w:p>
    <w:p>
      <w:pPr>
        <w:pStyle w:val="BodyText"/>
      </w:pPr>
      <w:r>
        <w:rPr>
          <w:iCs/>
          <w:i/>
        </w:rPr>
        <w:t xml:space="preserve">Platforms used, blocked, and available (multiple response, % of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 Campus-side Chinese platforms are those students mark as unusable. Consumer tools often used in Pakistan (Zoom, WhatsApp) are those they mark as available.</w:t>
      </w:r>
      <w:r>
        <w:t xml:space="preserve"> </w:t>
      </w:r>
      <w:r>
        <w:t xml:space="preserve">“</w:t>
      </w:r>
      <w:r>
        <w:t xml:space="preserve">My country</w:t>
      </w:r>
      <w:r>
        <w:t xml:space="preserve">”</w:t>
      </w:r>
      <w:r>
        <w:t xml:space="preserve"> </w:t>
      </w:r>
      <w:r>
        <w:t xml:space="preserve">is the student’s wording; nine responses were labelled mainland China.</w:t>
      </w:r>
    </w:p>
    <w:p>
      <w:pPr>
        <w:pStyle w:val="BodyText"/>
      </w:pPr>
      <w:r>
        <w:t xml:space="preserve">When emergency remote teaching copies the campus system off campus, the official classroom may sit on an application the student cannot enter.</w:t>
      </w:r>
    </w:p>
    <w:bookmarkEnd w:id="36"/>
    <w:bookmarkStart w:id="37" w:name="interaction-learning-appraisal-and-speed"/>
    <w:p>
      <w:pPr>
        <w:pStyle w:val="Heading3"/>
      </w:pPr>
      <w:r>
        <w:t xml:space="preserve">5.4 Interaction, learning appraisal, and speed</w:t>
      </w:r>
    </w:p>
    <w:p>
      <w:pPr>
        <w:pStyle w:val="FirstParagraph"/>
      </w:pPr>
      <w:r>
        <w:t xml:space="preserve">Very high stress was reported by 14 of 38 (36.8%). Active interaction with the teacher</w:t>
      </w:r>
      <w:r>
        <w:t xml:space="preserve"> </w:t>
      </w:r>
      <w:r>
        <w:t xml:space="preserve">“</w:t>
      </w:r>
      <w:r>
        <w:t xml:space="preserve">very much</w:t>
      </w:r>
      <w:r>
        <w:t xml:space="preserve">”</w:t>
      </w:r>
      <w:r>
        <w:t xml:space="preserve"> </w:t>
      </w:r>
      <w:r>
        <w:t xml:space="preserve">was reported by only 6 of 38 (15.8%); 11 of 38 (28.9%) said only a little or not at all. Classroom talk, when it happened, was mainly dialogue (76.3%) and question and answer (57.9%). Role-play was rare (7.9%). Those oral tasks most need a stable live channel.</w:t>
      </w:r>
    </w:p>
    <w:p>
      <w:pPr>
        <w:pStyle w:val="BodyText"/>
      </w:pPr>
      <w:r>
        <w:t xml:space="preserve">On the learning-appraisal items (α = .84), 18.4% said they could learn</w:t>
      </w:r>
      <w:r>
        <w:t xml:space="preserve"> </w:t>
      </w:r>
      <w:r>
        <w:t xml:space="preserve">“</w:t>
      </w:r>
      <w:r>
        <w:t xml:space="preserve">a lot</w:t>
      </w:r>
      <w:r>
        <w:t xml:space="preserve">”</w:t>
      </w:r>
      <w:r>
        <w:t xml:space="preserve"> </w:t>
      </w:r>
      <w:r>
        <w:t xml:space="preserve">online; 28.9% said little or nothing. 15.8% said online study could improve Chinese</w:t>
      </w:r>
      <w:r>
        <w:t xml:space="preserve"> </w:t>
      </w:r>
      <w:r>
        <w:t xml:space="preserve">“</w:t>
      </w:r>
      <w:r>
        <w:t xml:space="preserve">very much</w:t>
      </w:r>
      <w:r>
        <w:t xml:space="preserve">”</w:t>
      </w:r>
      <w:r>
        <w:t xml:space="preserve">; 10.5% said not at all. Five of 37 valid answers (13.5%) liked online classes very much.</w:t>
      </w:r>
    </w:p>
    <w:p>
      <w:pPr>
        <w:pStyle w:val="BodyText"/>
      </w:pPr>
      <w:r>
        <w:t xml:space="preserve">Worse internet speed tracked worse appraisal and thinner interaction (Table 4): ρ = .46 with learned less (</w:t>
      </w:r>
      <w:r>
        <w:rPr>
          <w:iCs/>
          <w:i/>
        </w:rPr>
        <w:t xml:space="preserve">p</w:t>
      </w:r>
      <w:r>
        <w:t xml:space="preserve"> </w:t>
      </w:r>
      <w:r>
        <w:t xml:space="preserve">= .004), .64 with less improvement (</w:t>
      </w:r>
      <w:r>
        <w:rPr>
          <w:iCs/>
          <w:i/>
        </w:rPr>
        <w:t xml:space="preserve">p</w:t>
      </w:r>
      <w:r>
        <w:t xml:space="preserve"> </w:t>
      </w:r>
      <w:r>
        <w:t xml:space="preserve">&lt; .001), .65 with the three-item appraisal (</w:t>
      </w:r>
      <w:r>
        <w:rPr>
          <w:iCs/>
          <w:i/>
        </w:rPr>
        <w:t xml:space="preserve">p</w:t>
      </w:r>
      <w:r>
        <w:t xml:space="preserve"> </w:t>
      </w:r>
      <w:r>
        <w:t xml:space="preserve">&lt; .001), .55 with less teacher interaction, and .60 with lower satisfaction with class time. A simple count of infrastructure problems (unstable network, no power, no signal) did not track appraisal (ρ = .02,</w:t>
      </w:r>
      <w:r>
        <w:t xml:space="preserve"> </w:t>
      </w:r>
      <w:r>
        <w:rPr>
          <w:iCs/>
          <w:i/>
        </w:rPr>
        <w:t xml:space="preserve">p</w:t>
      </w:r>
      <w:r>
        <w:t xml:space="preserve"> </w:t>
      </w:r>
      <w:r>
        <w:t xml:space="preserve">= .91). In this sample, speed of use matters; the number of problems ticked does not.</w:t>
      </w:r>
    </w:p>
    <w:p>
      <w:pPr>
        <w:pStyle w:val="BodyText"/>
      </w:pPr>
      <w:r>
        <w:t xml:space="preserve">Preferred live length was shorter than a typical campus Chinese class: 50% wanted 45 minutes and 28.9% wanted 30 minutes. One open comment refused the mode altogether: even one minute online was</w:t>
      </w:r>
      <w:r>
        <w:t xml:space="preserve"> </w:t>
      </w:r>
      <w:r>
        <w:t xml:space="preserve">“</w:t>
      </w:r>
      <w:r>
        <w:t xml:space="preserve">not suitable,</w:t>
      </w:r>
      <w:r>
        <w:t xml:space="preserve">”</w:t>
      </w:r>
      <w:r>
        <w:t xml:space="preserve"> </w:t>
      </w:r>
      <w:r>
        <w:t xml:space="preserve">and China should bring students back.</w:t>
      </w:r>
    </w:p>
    <w:p>
      <w:pPr>
        <w:pStyle w:val="BodyText"/>
      </w:pPr>
      <w:r>
        <w:rPr>
          <w:bCs/>
          <w:b/>
        </w:rPr>
        <w:t xml:space="preserve">Table 4</w:t>
      </w:r>
    </w:p>
    <w:p>
      <w:pPr>
        <w:pStyle w:val="BodyText"/>
      </w:pPr>
      <w:r>
        <w:rPr>
          <w:iCs/>
          <w:i/>
        </w:rPr>
        <w:t xml:space="preserve">Associations (Fisher’s exact and Spearman,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Cell counts / statistic</w:t>
            </w:r>
          </w:p>
        </w:tc>
      </w:tr>
      <w:tr>
        <w:tc>
          <w:tcPr/>
          <w:p>
            <w:pPr>
              <w:pStyle w:val="Compact"/>
              <w:jc w:val="left"/>
            </w:pPr>
            <w:r>
              <w:t xml:space="preserve">Home affects study very much × very high stress</w:t>
            </w:r>
          </w:p>
        </w:tc>
        <w:tc>
          <w:tcPr/>
          <w:p>
            <w:pPr>
              <w:pStyle w:val="Compact"/>
              <w:jc w:val="left"/>
            </w:pPr>
            <w:r>
              <w:t xml:space="preserve">11/14 vs 3/24; Fisher</w:t>
            </w:r>
            <w:r>
              <w:t xml:space="preserve"> </w:t>
            </w:r>
            <w:r>
              <w:rPr>
                <w:iCs/>
                <w:i/>
              </w:rPr>
              <w:t xml:space="preserve">p</w:t>
            </w:r>
            <w:r>
              <w:t xml:space="preserve"> </w:t>
            </w:r>
            <w:r>
              <w:t xml:space="preserve">&lt; .001, φ = .66; OR = 25.67, 95% CI [4.42, 149.00]</w:t>
            </w:r>
          </w:p>
        </w:tc>
      </w:tr>
      <w:tr>
        <w:tc>
          <w:tcPr/>
          <w:p>
            <w:pPr>
              <w:pStyle w:val="Compact"/>
              <w:jc w:val="left"/>
            </w:pPr>
            <w:r>
              <w:t xml:space="preserve">Female × online cannot replace campus</w:t>
            </w:r>
          </w:p>
        </w:tc>
        <w:tc>
          <w:tcPr/>
          <w:p>
            <w:pPr>
              <w:pStyle w:val="Compact"/>
              <w:jc w:val="left"/>
            </w:pPr>
            <w:r>
              <w:t xml:space="preserve">9/11 vs 10/27; Fisher</w:t>
            </w:r>
            <w:r>
              <w:t xml:space="preserve"> </w:t>
            </w:r>
            <w:r>
              <w:rPr>
                <w:iCs/>
                <w:i/>
              </w:rPr>
              <w:t xml:space="preserve">p</w:t>
            </w:r>
            <w:r>
              <w:t xml:space="preserve"> </w:t>
            </w:r>
            <w:r>
              <w:t xml:space="preserve">= .029, φ = .41; OR = 7.65, 95% CI [1.37, 42.71]</w:t>
            </w:r>
          </w:p>
        </w:tc>
      </w:tr>
      <w:tr>
        <w:tc>
          <w:tcPr/>
          <w:p>
            <w:pPr>
              <w:pStyle w:val="Compact"/>
              <w:jc w:val="left"/>
            </w:pPr>
            <w:r>
              <w:t xml:space="preserve">Learned little/nothing × cannot replace</w:t>
            </w:r>
          </w:p>
        </w:tc>
        <w:tc>
          <w:tcPr/>
          <w:p>
            <w:pPr>
              <w:pStyle w:val="Compact"/>
              <w:jc w:val="left"/>
            </w:pPr>
            <w:r>
              <w:t xml:space="preserve">9/11 vs 10/27; Fisher</w:t>
            </w:r>
            <w:r>
              <w:t xml:space="preserve"> </w:t>
            </w:r>
            <w:r>
              <w:rPr>
                <w:iCs/>
                <w:i/>
              </w:rPr>
              <w:t xml:space="preserve">p</w:t>
            </w:r>
            <w:r>
              <w:t xml:space="preserve"> </w:t>
            </w:r>
            <w:r>
              <w:t xml:space="preserve">= .029, φ = .41; OR = 7.65, 95% CI [1.37, 42.71]</w:t>
            </w:r>
          </w:p>
        </w:tc>
      </w:tr>
      <w:tr>
        <w:tc>
          <w:tcPr/>
          <w:p>
            <w:pPr>
              <w:pStyle w:val="Compact"/>
              <w:jc w:val="left"/>
            </w:pPr>
            <w:r>
              <w:t xml:space="preserve">Poor internet × cannot replace</w:t>
            </w:r>
          </w:p>
        </w:tc>
        <w:tc>
          <w:tcPr/>
          <w:p>
            <w:pPr>
              <w:pStyle w:val="Compact"/>
              <w:jc w:val="left"/>
            </w:pPr>
            <w:r>
              <w:t xml:space="preserve">8/10 vs 11/28; Fisher</w:t>
            </w:r>
            <w:r>
              <w:t xml:space="preserve"> </w:t>
            </w:r>
            <w:r>
              <w:rPr>
                <w:iCs/>
                <w:i/>
              </w:rPr>
              <w:t xml:space="preserve">p</w:t>
            </w:r>
            <w:r>
              <w:t xml:space="preserve"> </w:t>
            </w:r>
            <w:r>
              <w:t xml:space="preserve">= .062, φ = .36; OR = 6.18, 95% CI [1.10, 34.70]</w:t>
            </w:r>
          </w:p>
        </w:tc>
      </w:tr>
      <w:tr>
        <w:tc>
          <w:tcPr/>
          <w:p>
            <w:pPr>
              <w:pStyle w:val="Compact"/>
              <w:jc w:val="left"/>
            </w:pPr>
            <w:r>
              <w:t xml:space="preserve">Speed (worse) × learning appraisal (worse)</w:t>
            </w:r>
          </w:p>
        </w:tc>
        <w:tc>
          <w:tcPr/>
          <w:p>
            <w:pPr>
              <w:pStyle w:val="Compact"/>
              <w:jc w:val="left"/>
            </w:pPr>
            <w:r>
              <w:t xml:space="preserve">ρ = .65,</w:t>
            </w:r>
            <w:r>
              <w:t xml:space="preserve"> </w:t>
            </w:r>
            <w:r>
              <w:rPr>
                <w:iCs/>
                <w:i/>
              </w:rPr>
              <w:t xml:space="preserve">p</w:t>
            </w:r>
            <w:r>
              <w:t xml:space="preserve"> </w:t>
            </w:r>
            <w:r>
              <w:t xml:space="preserve">&lt; .001</w:t>
            </w:r>
          </w:p>
        </w:tc>
      </w:tr>
      <w:tr>
        <w:tc>
          <w:tcPr/>
          <w:p>
            <w:pPr>
              <w:pStyle w:val="Compact"/>
              <w:jc w:val="left"/>
            </w:pPr>
            <w:r>
              <w:t xml:space="preserve">Speed × teacher interaction (less)</w:t>
            </w:r>
          </w:p>
        </w:tc>
        <w:tc>
          <w:tcPr/>
          <w:p>
            <w:pPr>
              <w:pStyle w:val="Compact"/>
              <w:jc w:val="left"/>
            </w:pPr>
            <w:r>
              <w:t xml:space="preserve">ρ = .55,</w:t>
            </w:r>
            <w:r>
              <w:t xml:space="preserve"> </w:t>
            </w:r>
            <w:r>
              <w:rPr>
                <w:iCs/>
                <w:i/>
              </w:rPr>
              <w:t xml:space="preserve">p</w:t>
            </w:r>
            <w:r>
              <w:t xml:space="preserve"> </w:t>
            </w:r>
            <w:r>
              <w:t xml:space="preserve">&lt; .001</w:t>
            </w:r>
          </w:p>
        </w:tc>
      </w:tr>
      <w:tr>
        <w:tc>
          <w:tcPr/>
          <w:p>
            <w:pPr>
              <w:pStyle w:val="Compact"/>
              <w:jc w:val="left"/>
            </w:pPr>
            <w:r>
              <w:t xml:space="preserve">Infrastructure-problem count × learning appraisal</w:t>
            </w:r>
          </w:p>
        </w:tc>
        <w:tc>
          <w:tcPr/>
          <w:p>
            <w:pPr>
              <w:pStyle w:val="Compact"/>
              <w:jc w:val="left"/>
            </w:pPr>
            <w:r>
              <w:t xml:space="preserve">ρ = .02,</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Higher speed and learning-appraisal scores are more negative. Odds ratios summarise the 2×2 counts in this sample; the intervals are too wide for population inference. The female × cannot-replace row and the learned-little × cannot-replace row have the same OR by coincidence (both tables are 17/10 versus 2/9); they are not the same test.</w:t>
      </w:r>
    </w:p>
    <w:bookmarkEnd w:id="37"/>
    <w:bookmarkStart w:id="38" w:name="could-online-chinese-replace-the-campus"/>
    <w:p>
      <w:pPr>
        <w:pStyle w:val="Heading3"/>
      </w:pPr>
      <w:r>
        <w:t xml:space="preserve">5.5 Could online Chinese replace the campus?</w:t>
      </w:r>
    </w:p>
    <w:p>
      <w:pPr>
        <w:pStyle w:val="FirstParagraph"/>
      </w:pPr>
      <w:r>
        <w:t xml:space="preserve">Nineteen of 38 said online study could replace campus classes and 19 said it could not. Among women, 9 of 11 said it cannot; among men, 10 of 27 said so (Fisher</w:t>
      </w:r>
      <w:r>
        <w:t xml:space="preserve"> </w:t>
      </w:r>
      <w:r>
        <w:rPr>
          <w:iCs/>
          <w:i/>
        </w:rPr>
        <w:t xml:space="preserve">p</w:t>
      </w:r>
      <w:r>
        <w:t xml:space="preserve"> </w:t>
      </w:r>
      <w:r>
        <w:t xml:space="preserve">= .029, φ = .41). Those who learned little or nothing more often said it cannot replace campus. Among those with poor internet, 8 of 10 said it cannot, versus 11 of 28 of the rest (</w:t>
      </w:r>
      <w:r>
        <w:rPr>
          <w:iCs/>
          <w:i/>
        </w:rPr>
        <w:t xml:space="preserve">p</w:t>
      </w:r>
      <w:r>
        <w:t xml:space="preserve"> </w:t>
      </w:r>
      <w:r>
        <w:t xml:space="preserve">= .062). Table 4 again prints odds ratios only as a compact summary of those counts.</w:t>
      </w:r>
    </w:p>
    <w:p>
      <w:pPr>
        <w:pStyle w:val="BodyText"/>
      </w:pPr>
      <w:r>
        <w:t xml:space="preserve">Mann-Whitney tests on the ordinals by gender were non-significant. The gender difference is not that women scored as having learned less. Women more often refused to treat online Chinese as a campus substitute.</w:t>
      </w:r>
    </w:p>
    <w:p>
      <w:pPr>
        <w:pStyle w:val="BodyText"/>
      </w:pPr>
      <w:r>
        <w:t xml:space="preserve">A second pattern sits beside that refusal: 19 of 27 men (70.4%) were working while studying, against 3 of 11 women (27.3%) (Fisher</w:t>
      </w:r>
      <w:r>
        <w:t xml:space="preserve"> </w:t>
      </w:r>
      <w:r>
        <w:rPr>
          <w:iCs/>
          <w:i/>
        </w:rPr>
        <w:t xml:space="preserve">p</w:t>
      </w:r>
      <w:r>
        <w:t xml:space="preserve"> </w:t>
      </w:r>
      <w:r>
        <w:t xml:space="preserve">= .028). Men in this sample more often combined wage labour with emergency remote teaching; women more often refused to count it as campus. Both patterns are signals in a male-majority sample, not a full gender analysis.</w:t>
      </w:r>
    </w:p>
    <w:bookmarkEnd w:id="38"/>
    <w:bookmarkStart w:id="39" w:name="sensitivity"/>
    <w:p>
      <w:pPr>
        <w:pStyle w:val="Heading3"/>
      </w:pPr>
      <w:r>
        <w:t xml:space="preserve">5.6 Sensitivity</w:t>
      </w:r>
    </w:p>
    <w:p>
      <w:pPr>
        <w:pStyle w:val="FirstParagraph"/>
      </w:pPr>
      <w:r>
        <w:t xml:space="preserve">Table 5 repeats the two focal tests. Among Pakistani respondents only (n = 37), unstable networks remained 75.7% and power cuts 43.2%; the home-stress association remained</w:t>
      </w:r>
      <w:r>
        <w:t xml:space="preserve"> </w:t>
      </w:r>
      <w:r>
        <w:rPr>
          <w:iCs/>
          <w:i/>
        </w:rPr>
        <w:t xml:space="preserve">p</w:t>
      </w:r>
      <w:r>
        <w:t xml:space="preserve"> </w:t>
      </w:r>
      <w:r>
        <w:t xml:space="preserve">&lt; .001 and speed × appraisal was ρ = .67. Among responses whose IP was not labelled mainland China (n = 29), the same figures were 75.9%, 41.4%,</w:t>
      </w:r>
      <w:r>
        <w:t xml:space="preserve"> </w:t>
      </w:r>
      <w:r>
        <w:rPr>
          <w:iCs/>
          <w:i/>
        </w:rPr>
        <w:t xml:space="preserve">p</w:t>
      </w:r>
      <w:r>
        <w:t xml:space="preserve"> </w:t>
      </w:r>
      <w:r>
        <w:t xml:space="preserve">&lt; .001, and ρ = .70. Restricting the sample does not reverse the associations.</w:t>
      </w:r>
    </w:p>
    <w:p>
      <w:pPr>
        <w:pStyle w:val="BodyText"/>
      </w:pPr>
      <w:r>
        <w:rPr>
          <w:bCs/>
          <w:b/>
        </w:rPr>
        <w:t xml:space="preserve">Table 5</w:t>
      </w:r>
    </w:p>
    <w:p>
      <w:pPr>
        <w:pStyle w:val="BodyText"/>
      </w:pPr>
      <w:r>
        <w:rPr>
          <w:iCs/>
          <w:i/>
        </w:rPr>
        <w:t xml:space="preserve">Sensitivity: same associations in restricted samples</w:t>
      </w:r>
    </w:p>
    <w:tbl>
      <w:tblPr>
        <w:tblStyle w:val="Table"/>
        <w:tblW w:type="pct" w:w="5000"/>
        <w:tblLook w:firstRow="1" w:lastRow="0" w:firstColumn="0" w:lastColumn="0" w:noHBand="0" w:noVBand="0" w:val="0020"/>
        <w:jc w:val="start"/>
      </w:tblPr>
      <w:tblGrid>
        <w:gridCol w:w="1131"/>
        <w:gridCol w:w="1508"/>
        <w:gridCol w:w="1508"/>
        <w:gridCol w:w="1508"/>
        <w:gridCol w:w="1131"/>
        <w:gridCol w:w="1131"/>
      </w:tblGrid>
      <w:tr>
        <w:trPr>
          <w:tblHeader w:val="true"/>
        </w:trPr>
        <w:tc>
          <w:tcPr/>
          <w:p>
            <w:pPr>
              <w:pStyle w:val="Compact"/>
              <w:jc w:val="left"/>
            </w:pPr>
            <w:r>
              <w:t xml:space="preserve">Sample</w:t>
            </w:r>
          </w:p>
        </w:tc>
        <w:tc>
          <w:tcPr/>
          <w:p>
            <w:pPr>
              <w:pStyle w:val="Compact"/>
              <w:jc w:val="right"/>
            </w:pPr>
            <w:r>
              <w:t xml:space="preserve">n</w:t>
            </w:r>
          </w:p>
        </w:tc>
        <w:tc>
          <w:tcPr/>
          <w:p>
            <w:pPr>
              <w:pStyle w:val="Compact"/>
              <w:jc w:val="right"/>
            </w:pPr>
            <w:r>
              <w:t xml:space="preserve">Unstable net %</w:t>
            </w:r>
          </w:p>
        </w:tc>
        <w:tc>
          <w:tcPr/>
          <w:p>
            <w:pPr>
              <w:pStyle w:val="Compact"/>
              <w:jc w:val="right"/>
            </w:pPr>
            <w:r>
              <w:t xml:space="preserve">No power %</w:t>
            </w:r>
          </w:p>
        </w:tc>
        <w:tc>
          <w:tcPr/>
          <w:p>
            <w:pPr>
              <w:pStyle w:val="Compact"/>
              <w:jc w:val="left"/>
            </w:pPr>
            <w:r>
              <w:t xml:space="preserve">Home × high stress</w:t>
            </w:r>
          </w:p>
        </w:tc>
        <w:tc>
          <w:tcPr/>
          <w:p>
            <w:pPr>
              <w:pStyle w:val="Compact"/>
              <w:jc w:val="left"/>
            </w:pPr>
            <w:r>
              <w:t xml:space="preserve">Speed × appraisal</w:t>
            </w:r>
          </w:p>
        </w:tc>
      </w:tr>
      <w:tr>
        <w:tc>
          <w:tcPr/>
          <w:p>
            <w:pPr>
              <w:pStyle w:val="Compact"/>
              <w:jc w:val="left"/>
            </w:pPr>
            <w:r>
              <w:t xml:space="preserve">Full sample</w:t>
            </w:r>
          </w:p>
        </w:tc>
        <w:tc>
          <w:tcPr/>
          <w:p>
            <w:pPr>
              <w:pStyle w:val="Compact"/>
              <w:jc w:val="right"/>
            </w:pPr>
            <w:r>
              <w:t xml:space="preserve">38</w:t>
            </w:r>
          </w:p>
        </w:tc>
        <w:tc>
          <w:tcPr/>
          <w:p>
            <w:pPr>
              <w:pStyle w:val="Compact"/>
              <w:jc w:val="right"/>
            </w:pPr>
            <w:r>
              <w:t xml:space="preserve">76.3</w:t>
            </w:r>
          </w:p>
        </w:tc>
        <w:tc>
          <w:tcPr/>
          <w:p>
            <w:pPr>
              <w:pStyle w:val="Compact"/>
              <w:jc w:val="right"/>
            </w:pPr>
            <w:r>
              <w:t xml:space="preserve">42.1</w:t>
            </w:r>
          </w:p>
        </w:tc>
        <w:tc>
          <w:tcPr/>
          <w:p>
            <w:pPr>
              <w:pStyle w:val="Compact"/>
              <w:jc w:val="left"/>
            </w:pPr>
            <w:r>
              <w:rPr>
                <w:iCs/>
                <w:i/>
              </w:rPr>
              <w:t xml:space="preserve">p</w:t>
            </w:r>
            <w:r>
              <w:t xml:space="preserve"> </w:t>
            </w:r>
            <w:r>
              <w:t xml:space="preserve">&lt; .001</w:t>
            </w:r>
          </w:p>
        </w:tc>
        <w:tc>
          <w:tcPr/>
          <w:p>
            <w:pPr>
              <w:pStyle w:val="Compact"/>
              <w:jc w:val="left"/>
            </w:pPr>
            <w:r>
              <w:t xml:space="preserve">ρ = .65</w:t>
            </w:r>
          </w:p>
        </w:tc>
      </w:tr>
      <w:tr>
        <w:tc>
          <w:tcPr/>
          <w:p>
            <w:pPr>
              <w:pStyle w:val="Compact"/>
              <w:jc w:val="left"/>
            </w:pPr>
            <w:r>
              <w:t xml:space="preserve">Pakistani only</w:t>
            </w:r>
          </w:p>
        </w:tc>
        <w:tc>
          <w:tcPr/>
          <w:p>
            <w:pPr>
              <w:pStyle w:val="Compact"/>
              <w:jc w:val="right"/>
            </w:pPr>
            <w:r>
              <w:t xml:space="preserve">37</w:t>
            </w:r>
          </w:p>
        </w:tc>
        <w:tc>
          <w:tcPr/>
          <w:p>
            <w:pPr>
              <w:pStyle w:val="Compact"/>
              <w:jc w:val="right"/>
            </w:pPr>
            <w:r>
              <w:t xml:space="preserve">75.7</w:t>
            </w:r>
          </w:p>
        </w:tc>
        <w:tc>
          <w:tcPr/>
          <w:p>
            <w:pPr>
              <w:pStyle w:val="Compact"/>
              <w:jc w:val="right"/>
            </w:pPr>
            <w:r>
              <w:t xml:space="preserve">43.2</w:t>
            </w:r>
          </w:p>
        </w:tc>
        <w:tc>
          <w:tcPr/>
          <w:p>
            <w:pPr>
              <w:pStyle w:val="Compact"/>
              <w:jc w:val="left"/>
            </w:pPr>
            <w:r>
              <w:rPr>
                <w:iCs/>
                <w:i/>
              </w:rPr>
              <w:t xml:space="preserve">p</w:t>
            </w:r>
            <w:r>
              <w:t xml:space="preserve"> </w:t>
            </w:r>
            <w:r>
              <w:t xml:space="preserve">&lt; .001</w:t>
            </w:r>
          </w:p>
        </w:tc>
        <w:tc>
          <w:tcPr/>
          <w:p>
            <w:pPr>
              <w:pStyle w:val="Compact"/>
              <w:jc w:val="left"/>
            </w:pPr>
            <w:r>
              <w:t xml:space="preserve">ρ = .67</w:t>
            </w:r>
          </w:p>
        </w:tc>
      </w:tr>
      <w:tr>
        <w:tc>
          <w:tcPr/>
          <w:p>
            <w:pPr>
              <w:pStyle w:val="Compact"/>
              <w:jc w:val="left"/>
            </w:pPr>
            <w:r>
              <w:t xml:space="preserve">IP not in mainland China</w:t>
            </w:r>
          </w:p>
        </w:tc>
        <w:tc>
          <w:tcPr/>
          <w:p>
            <w:pPr>
              <w:pStyle w:val="Compact"/>
              <w:jc w:val="right"/>
            </w:pPr>
            <w:r>
              <w:t xml:space="preserve">29</w:t>
            </w:r>
          </w:p>
        </w:tc>
        <w:tc>
          <w:tcPr/>
          <w:p>
            <w:pPr>
              <w:pStyle w:val="Compact"/>
              <w:jc w:val="right"/>
            </w:pPr>
            <w:r>
              <w:t xml:space="preserve">75.9</w:t>
            </w:r>
          </w:p>
        </w:tc>
        <w:tc>
          <w:tcPr/>
          <w:p>
            <w:pPr>
              <w:pStyle w:val="Compact"/>
              <w:jc w:val="right"/>
            </w:pPr>
            <w:r>
              <w:t xml:space="preserve">41.4</w:t>
            </w:r>
          </w:p>
        </w:tc>
        <w:tc>
          <w:tcPr/>
          <w:p>
            <w:pPr>
              <w:pStyle w:val="Compact"/>
              <w:jc w:val="left"/>
            </w:pPr>
            <w:r>
              <w:rPr>
                <w:iCs/>
                <w:i/>
              </w:rPr>
              <w:t xml:space="preserve">p</w:t>
            </w:r>
            <w:r>
              <w:t xml:space="preserve"> </w:t>
            </w:r>
            <w:r>
              <w:t xml:space="preserve">&lt; .001</w:t>
            </w:r>
          </w:p>
        </w:tc>
        <w:tc>
          <w:tcPr/>
          <w:p>
            <w:pPr>
              <w:pStyle w:val="Compact"/>
              <w:jc w:val="left"/>
            </w:pPr>
            <w:r>
              <w:t xml:space="preserve">ρ = .70</w:t>
            </w:r>
          </w:p>
        </w:tc>
      </w:tr>
    </w:tbl>
    <w:bookmarkEnd w:id="39"/>
    <w:bookmarkEnd w:id="40"/>
    <w:bookmarkStart w:id="45" w:name="discussion"/>
    <w:p>
      <w:pPr>
        <w:pStyle w:val="Heading2"/>
      </w:pPr>
      <w:r>
        <w:t xml:space="preserve">6. Discussion</w:t>
      </w:r>
    </w:p>
    <w:bookmarkStart w:id="41" w:name="a-campus-curriculum-without-the-campus"/>
    <w:p>
      <w:pPr>
        <w:pStyle w:val="Heading3"/>
      </w:pPr>
      <w:r>
        <w:t xml:space="preserve">6.1 A campus curriculum without the campus</w:t>
      </w:r>
    </w:p>
    <w:p>
      <w:pPr>
        <w:pStyle w:val="FirstParagraph"/>
      </w:pPr>
      <w:r>
        <w:t xml:space="preserve">This article is about curriculum implementation under emergency remote teaching. Chinese-university language programmes imagine a campus: a dormitory, a classroom, extra-curricular Chinese, and an HSK calendar. The emergency kept the assessment plan and removed the campus for those who were offshore. Very high stress at 36.8% is not only pandemic psychology. It is also language-learning psychology once speaking and listening meet an unstable connection and a lively room (cf. MacIntyre et al., 2020). In this sample, 11 of 14 students who said the home affected study very much also reported very high stress, against 3 of 24 others. That count, not the odds ratio, is the pattern we take forward.</w:t>
      </w:r>
    </w:p>
    <w:p>
      <w:pPr>
        <w:pStyle w:val="BodyText"/>
      </w:pPr>
      <w:r>
        <w:t xml:space="preserve">The finding is still useful after the emergency because hybrid ICLE and HSK delivery on Chinese-campus systems are often designed as if the login, the hour, and the room were campus-like. Moorhouse et al. (2023) describe technological normalisation after the return to class. Stockwell and Wang (2023) warn that treating videoconferencing as a copy of campus teaching is a limited lesson from the crisis. This corridor did not reach that normalisation. Before later digital practices such as generative AI become relevant (Darvin, 2025), the class has to open, the current has to hold, and the house has to allow a voice.</w:t>
      </w:r>
    </w:p>
    <w:bookmarkEnd w:id="41"/>
    <w:bookmarkStart w:id="42" w:name="X3acea38e0eaa813d07faf5a60d129f027ed62fe"/>
    <w:p>
      <w:pPr>
        <w:pStyle w:val="Heading3"/>
      </w:pPr>
      <w:r>
        <w:t xml:space="preserve">6.2 Sequence, speed, and the geography of the login</w:t>
      </w:r>
    </w:p>
    <w:p>
      <w:pPr>
        <w:pStyle w:val="FirstParagraph"/>
      </w:pPr>
      <w:r>
        <w:t xml:space="preserve">The findings fit van Dijk’s order better than a single</w:t>
      </w:r>
      <w:r>
        <w:t xml:space="preserve"> </w:t>
      </w:r>
      <w:r>
        <w:t xml:space="preserve">“</w:t>
      </w:r>
      <w:r>
        <w:t xml:space="preserve">poor internet</w:t>
      </w:r>
      <w:r>
        <w:t xml:space="preserve">”</w:t>
      </w:r>
      <w:r>
        <w:t xml:space="preserve"> </w:t>
      </w:r>
      <w:r>
        <w:t xml:space="preserve">headline. Power and signal sit under speed. Speed tracks learning appraisal and interaction. A tally of infrastructure problems does not. Campus platforms sit in another country from the applications that actually open. Training teachers in Chaoxing breakout rooms addresses a layer many of these students could not enter. For this corridor the earlier layers are household electricity and whether the campus login opens on the phone the student has.</w:t>
      </w:r>
    </w:p>
    <w:bookmarkEnd w:id="42"/>
    <w:bookmarkStart w:id="43" w:name="X975158339fb38d01e9ae1d4efc8dce89d233922"/>
    <w:p>
      <w:pPr>
        <w:pStyle w:val="Heading3"/>
      </w:pPr>
      <w:r>
        <w:t xml:space="preserve">6.3 A discussion lens: why some learners refused the substitute</w:t>
      </w:r>
    </w:p>
    <w:p>
      <w:pPr>
        <w:pStyle w:val="FirstParagraph"/>
      </w:pPr>
      <w:r>
        <w:t xml:space="preserve">The two-layer model already explains most of the results: power and speed shaped appraisal; campus logins often failed; the home was associated with very high stress. A further question is how to read thin teacher interaction (only 15.8%</w:t>
      </w:r>
      <w:r>
        <w:t xml:space="preserve"> </w:t>
      </w:r>
      <w:r>
        <w:t xml:space="preserve">“</w:t>
      </w:r>
      <w:r>
        <w:t xml:space="preserve">very much</w:t>
      </w:r>
      <w:r>
        <w:t xml:space="preserve">”</w:t>
      </w:r>
      <w:r>
        <w:t xml:space="preserve">) and the even split over whether online study counted as class. One available reading is language investment (Norton, 2013; Darvin &amp; Norton, 2023). A student may still want Chinese and yet not be invested in the practices of a given class if the daily cost (data, a lively house, a job, a class that will not load) is higher than the return. Women in this sample more often refused to count emergency remote teaching as campus. That is a judgement about legitimacy, not a score on an investment scale.</w:t>
      </w:r>
    </w:p>
    <w:p>
      <w:pPr>
        <w:pStyle w:val="BodyText"/>
      </w:pPr>
      <w:r>
        <w:t xml:space="preserve">We do not need that reading in order to report the associations. We use it because Hajar and Karakuş (2024) have asked this journal for evidence on international students of languages other than English, and because withdrawal under cost is a recognised part of the investment literature. Campus Chinese offers embodied speaking practice. Home emergency teaching, on these items, offered thinner interaction and mixed appraisal. That is a plausible loss of oral practice, not a measured loss of oral capital (Darvin &amp; Norton, 2015). Readers who find the metaphor too loose can treat Section 6.3 as optional.</w:t>
      </w:r>
    </w:p>
    <w:bookmarkEnd w:id="43"/>
    <w:bookmarkStart w:id="44" w:name="X3f41d7067da38714b0f13e8cb605b5ccc918580"/>
    <w:p>
      <w:pPr>
        <w:pStyle w:val="Heading3"/>
      </w:pPr>
      <w:r>
        <w:t xml:space="preserve">6.4 What the localisation claim does and does not say</w:t>
      </w:r>
    </w:p>
    <w:p>
      <w:pPr>
        <w:pStyle w:val="FirstParagraph"/>
      </w:pPr>
      <w:r>
        <w:t xml:space="preserve">ICLE debates on localisation often ask whether a textbook should replace Beijing place names with local names, or whether festival content needs Islamic-context mediation. Those questions belong in work on materials in Pakistani universities. They are not this paper. The present claim is narrower and sits inside curriculum implementation: a culturally adapted lesson still fails if it is a synchronous oral hour delivered into load-shedding or onto an application that does not open. In the emergency, the programme ecology was a Chinese-university timetable, the users sat mainly in Pakistani houses, and the material was a live class that assumed campus conditions.</w:t>
      </w:r>
    </w:p>
    <w:p>
      <w:pPr>
        <w:pStyle w:val="BodyText"/>
      </w:pPr>
      <w:r>
        <w:t xml:space="preserve">What follows for course design is modest and local to this sample. It is not a programme for Chinese language localisation in Pakistan, and it is not a theory of digital inequality in general. It is a set of delivery checks implied by this cohort: asynchronous oral alternatives that survive low bandwidth; progression decisions that do not assume a campus oral hour; prepaid data treated as a language-learning resource; timetables that name Beijing time when students sit in Pakistan; and a usable classroom defined by the application that opens. WhatsApp was marked available here; it was not recorded as used for class. Hybrid ICLE that still copies the campus hour onto Tencent Meeting or Chaoxing, without those checks, repeats the misfit after the pandemic.</w:t>
      </w:r>
    </w:p>
    <w:p>
      <w:pPr>
        <w:pStyle w:val="BodyText"/>
      </w:pPr>
      <w:r>
        <w:t xml:space="preserve">The same households send students to Confucius Institutes and to Chinese universities. Hybrid institute teaching that assumes uninterrupted Zoom reproduces the same misfit. Localisation for Pakistani Chinese teachers has to include checks of power, devices, and mediation language as well as textbook adaptation.</w:t>
      </w:r>
    </w:p>
    <w:p>
      <w:pPr>
        <w:pStyle w:val="BodyText"/>
      </w:pPr>
      <w:r>
        <w:t xml:space="preserve">The sample is 71% male. Digital inequality in Pakistani households is gendered (Raza &amp; Hennessy, 2025), and a Chinese-university sample recruited through male-dense networks will under-represent that pattern. On most ordinals, men and women did not differ. On replacement, women more often said no. On paid work, men more often said yes. The data cannot show how women lived the noisy home, the power cut, or the blocked Chaoxing login. Future work on this corridor should oversample Pakistani women, compare home learners enrolled in China with Confucius Institute learners in the same cities, and follow oral and written skill with tasks rather than only self-report. How</w:t>
      </w:r>
      <w:r>
        <w:t xml:space="preserve"> </w:t>
      </w:r>
      <w:r>
        <w:rPr>
          <w:iCs/>
          <w:i/>
        </w:rPr>
        <w:t xml:space="preserve">HSK Standard Course</w:t>
      </w:r>
      <w:r>
        <w:t xml:space="preserve"> </w:t>
      </w:r>
      <w:r>
        <w:t xml:space="preserve">is used in Pakistani universities is a different paper.</w:t>
      </w:r>
    </w:p>
    <w:bookmarkEnd w:id="44"/>
    <w:bookmarkEnd w:id="45"/>
    <w:bookmarkStart w:id="46" w:name="limitations"/>
    <w:p>
      <w:pPr>
        <w:pStyle w:val="Heading2"/>
      </w:pPr>
      <w:r>
        <w:t xml:space="preserve">7. Limitations</w:t>
      </w:r>
    </w:p>
    <w:p>
      <w:pPr>
        <w:pStyle w:val="FirstParagraph"/>
      </w:pPr>
      <w:r>
        <w:t xml:space="preserve">The sample is small (N = 38). Associations are reported as counts and exact tests in this network; they do not support population odds ratios. It is a male-majority convenience sample of phone users, with nine responses labelled mainland China, so the findings describe this cohort rather than Pakistani women as a group or a census of students in Pakistan that week. Sensitivity analyses on n = 37 and n = 29 do not remove that limit. All outcomes are self-report; there are no HSK scores or oral tasks, and</w:t>
      </w:r>
      <w:r>
        <w:t xml:space="preserve"> </w:t>
      </w:r>
      <w:r>
        <w:t xml:space="preserve">“</w:t>
      </w:r>
      <w:r>
        <w:t xml:space="preserve">advanced</w:t>
      </w:r>
      <w:r>
        <w:t xml:space="preserve">”</w:t>
      </w:r>
      <w:r>
        <w:t xml:space="preserve"> </w:t>
      </w:r>
      <w:r>
        <w:t xml:space="preserve">is a self-rating. Chinese-medium items with non-native wording may have been understood unevenly. The questionnaire does not name the host university, textbook, or award type. Investment was not measured and is not required to read the results. The 2022 collection was not assigned an institutional ethics number. The transferable claim concerns how a campus curriculum was implemented under inequality, not the pandemic as such, and not textbook localisation.</w:t>
      </w:r>
    </w:p>
    <w:bookmarkEnd w:id="46"/>
    <w:bookmarkStart w:id="47" w:name="conclusion"/>
    <w:p>
      <w:pPr>
        <w:pStyle w:val="Heading2"/>
      </w:pPr>
      <w:r>
        <w:t xml:space="preserve">8. Conclusion</w:t>
      </w:r>
    </w:p>
    <w:p>
      <w:pPr>
        <w:pStyle w:val="FirstParagraph"/>
      </w:pPr>
      <w:r>
        <w:t xml:space="preserve">This article has examined one object: the implementation of a Chinese-university language curriculum when the class moved into the household. Pakistani students who learned Chinese through this emergency did not mainly fail to adapt to online learning. Many homes were asked to carry a campus oral hour. Many had no quiet room, no stable power, and no login that matched the campus system. Digital inequality entered as electricity, speed, and platform access. Participation looked like thin interaction, mixed learning appraisal, and an even split over whether this counted as class. Women in the sample more often refused that count. If localisation is to mean more than textbook adaptation, it has, on this corridor, to include delivery: the house, and the application that actually opens. The field has moved on to blended normalisation and generative AI. The inequality in these data has not.</w:t>
      </w:r>
    </w:p>
    <w:bookmarkEnd w:id="47"/>
    <w:bookmarkStart w:id="48"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Darvin, R. (2025). Identity and investment in the age of generative AI.</w:t>
      </w:r>
      <w:r>
        <w:t xml:space="preserve"> </w:t>
      </w:r>
      <w:r>
        <w:rPr>
          <w:iCs/>
          <w:i/>
        </w:rPr>
        <w:t xml:space="preserve">Annual Review of Applied Linguistics, 45</w:t>
      </w:r>
      <w:r>
        <w:t xml:space="preserve">, 10-27. https://doi.org/10.1017/S0267190525100135</w:t>
      </w:r>
    </w:p>
    <w:p>
      <w:pPr>
        <w:pStyle w:val="BodyText"/>
      </w:pPr>
      <w:r>
        <w:t xml:space="preserve">Darvin, R., &amp; Norton, B. (2015). Identity and a model of investment in applied linguistics.</w:t>
      </w:r>
      <w:r>
        <w:t xml:space="preserve"> </w:t>
      </w:r>
      <w:r>
        <w:rPr>
          <w:iCs/>
          <w:i/>
        </w:rPr>
        <w:t xml:space="preserve">Annual Review of Applied Linguistics, 35</w:t>
      </w:r>
      <w:r>
        <w:t xml:space="preserve">, 36-51. https://doi.org/10.1017/S0267190514000251</w:t>
      </w:r>
    </w:p>
    <w:p>
      <w:pPr>
        <w:pStyle w:val="BodyText"/>
      </w:pPr>
      <w:r>
        <w:t xml:space="preserve">Darvin, R., &amp; Norton, B. (2023). Investment and motivation in language learning: What’s the difference?</w:t>
      </w:r>
      <w:r>
        <w:t xml:space="preserve"> </w:t>
      </w:r>
      <w:r>
        <w:rPr>
          <w:iCs/>
          <w:i/>
        </w:rPr>
        <w:t xml:space="preserve">Language Teaching, 56</w:t>
      </w:r>
      <w:r>
        <w:t xml:space="preserve">(1), 29-40. https://doi.org/10.1017/S0261444821000057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Hajar, A., &amp; Karakuş, M. (2024). Three decades of research on the model of investment in applied linguistics: A bibliometric analysis and research agenda.</w:t>
      </w:r>
      <w:r>
        <w:t xml:space="preserve"> </w:t>
      </w:r>
      <w:r>
        <w:rPr>
          <w:iCs/>
          <w:i/>
        </w:rPr>
        <w:t xml:space="preserve">Language, Culture and Curriculum, 38</w:t>
      </w:r>
      <w:r>
        <w:t xml:space="preserve">(2), 175-206. https://doi.org/10.1080/07908318.2024.2435284</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Norton, B. (2013).</w:t>
      </w:r>
      <w:r>
        <w:t xml:space="preserve"> </w:t>
      </w:r>
      <w:r>
        <w:rPr>
          <w:iCs/>
          <w:i/>
        </w:rPr>
        <w:t xml:space="preserve">Identity and language learning: Extending the conversation</w:t>
      </w:r>
      <w:r>
        <w:t xml:space="preserve"> </w:t>
      </w:r>
      <w:r>
        <w:t xml:space="preserve">(2nd ed.). Multilingual Matters.</w:t>
      </w:r>
    </w:p>
    <w:p>
      <w:pPr>
        <w:pStyle w:val="BodyText"/>
      </w:pPr>
      <w:r>
        <w:t xml:space="preserve">Piller, I., Zhang, J., &amp; Li, J. (2020). Linguistic diversity in a time of crisis: Language challenges of the COVID-19 pandemic.</w:t>
      </w:r>
      <w:r>
        <w:t xml:space="preserve"> </w:t>
      </w:r>
      <w:r>
        <w:rPr>
          <w:iCs/>
          <w:i/>
        </w:rPr>
        <w:t xml:space="preserve">Multilingua, 39</w:t>
      </w:r>
      <w:r>
        <w:t xml:space="preserve">(5), 503-515. https://doi.org/10.1515/multi-2020-0136</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bookmarkEnd w:id="48"/>
    <w:bookmarkEnd w:id="4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2026-08-23T05:43:37Z</dcterms:created>
  <dcterms:modified xsi:type="dcterms:W3CDTF">2026-08-23T05:43:37Z</dcterms:modified>
</cp:coreProperties>
</file>

<file path=docProps/custom.xml><?xml version="1.0" encoding="utf-8"?>
<Properties xmlns="http://schemas.openxmlformats.org/officeDocument/2006/custom-properties" xmlns:vt="http://schemas.openxmlformats.org/officeDocument/2006/docPropsVTypes"/>
</file>