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When Chinese class moved home: Pakistani students, infrastructure, and platform access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examines how household conditions and campus-platform access shaped Pakistani students’ participation in Chinese-university language classes during emergency remote teaching. It is written for this journal’s aims: additional-language learning outside the classroom, identity and investment (as a reading of participation), and curriculum implementation (the campus course plan used off campus). A questionnaire (N = 38; February 2022) shows that homes which affected study</w:t>
      </w:r>
      <w:r>
        <w:t xml:space="preserve"> </w:t>
      </w:r>
      <w:r>
        <w:t xml:space="preserve">“</w:t>
      </w:r>
      <w:r>
        <w:t xml:space="preserve">very much</w:t>
      </w:r>
      <w:r>
        <w:t xml:space="preserve">”</w:t>
      </w:r>
      <w:r>
        <w:t xml:space="preserve"> </w:t>
      </w:r>
      <w:r>
        <w:t xml:space="preserve">were associated with very high stress, that internet speed tracked learning appraisal, and that campus applications such as QQ and Chaoxing were often marked unusable from</w:t>
      </w:r>
      <w:r>
        <w:t xml:space="preserve"> </w:t>
      </w:r>
      <w:r>
        <w:t xml:space="preserve">“</w:t>
      </w:r>
      <w:r>
        <w:t xml:space="preserve">my country.</w:t>
      </w:r>
      <w:r>
        <w:t xml:space="preserve">”</w:t>
      </w:r>
      <w:r>
        <w:t xml:space="preserve"> </w:t>
      </w:r>
      <w:r>
        <w:t xml:space="preserve">The study supplies a South-South case that the journal’s investment agenda on international students of languages other than English (Hajar &amp; Karakuş, 2024) still lacks.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2026-08-23T05:31:46Z</dcterms:created>
  <dcterms:modified xsi:type="dcterms:W3CDTF">2026-08-23T05:31:46Z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