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e9071a26e2a253abc760e4ae7a86f3c225b62e5"/>
    <w:p>
      <w:pPr>
        <w:pStyle w:val="Heading1"/>
      </w:pPr>
      <w:r>
        <w:t xml:space="preserve">When Chinese class moved home: Pakistani students, infrastructure, and platform access</w:t>
      </w:r>
    </w:p>
    <w:p>
      <w:pPr>
        <w:pStyle w:val="FirstParagraph"/>
      </w:pPr>
      <w:r>
        <w:rPr>
          <w:bCs/>
          <w:b/>
        </w:rPr>
        <w:t xml:space="preserve">Short title:</w:t>
      </w:r>
      <w:r>
        <w:t xml:space="preserve"> </w:t>
      </w:r>
      <w:r>
        <w:t xml:space="preserve">Chinese class at home</w:t>
      </w:r>
    </w:p>
    <w:bookmarkStart w:id="20" w:name="abstract"/>
    <w:p>
      <w:pPr>
        <w:pStyle w:val="Heading2"/>
      </w:pPr>
      <w:r>
        <w:t xml:space="preserve">Abstract</w:t>
      </w:r>
    </w:p>
    <w:p>
      <w:pPr>
        <w:pStyle w:val="FirstParagraph"/>
      </w:pPr>
      <w:r>
        <w:t xml:space="preserve">When Chinese universities moved instruction online, many Pakistani students continued their language courses from households that had not been designed as classrooms. This article treats that shift as a problem of language, culture, and curriculum: Chinese as an additional language was delivered through a campus plan that assumed a working login, a live oral hour, and a quiet room. A questionnaire completed by 38 students in February 2022 (mainly Pakistani; nine responses labelled mainland China) examined how digital inequality and platform access shaped participation. Unstable networks (76.3%), power cuts (42.1%), and homes that were not quiet (71.1%) were common; 36.8% reported very high stress. Homes that affected study</w:t>
      </w:r>
      <w:r>
        <w:t xml:space="preserve"> </w:t>
      </w:r>
      <w:r>
        <w:t xml:space="preserve">“</w:t>
      </w:r>
      <w:r>
        <w:t xml:space="preserve">very much</w:t>
      </w:r>
      <w:r>
        <w:t xml:space="preserve">”</w:t>
      </w:r>
      <w:r>
        <w:t xml:space="preserve"> </w:t>
      </w:r>
      <w:r>
        <w:t xml:space="preserve">were associated with very high stress (OR = 25.67, 95% CI [4.42, 149.00]). Worse internet speed tracked worse learning appraisal (ρ = .65). Campus applications such as QQ and Chaoxing were often marked unusable; Zoom and WhatsApp were more often marked available. Half the sample said online study could replace campus classes; women more often said it could not. Localising Chinese on this corridor means fitting delivery to the household and to the application that opens, not only to textbook culture.</w:t>
      </w:r>
    </w:p>
    <w:p>
      <w:pPr>
        <w:pStyle w:val="BodyText"/>
      </w:pPr>
      <w:r>
        <w:rPr>
          <w:bCs/>
          <w:b/>
        </w:rPr>
        <w:t xml:space="preserve">Keywords:</w:t>
      </w:r>
      <w:r>
        <w:t xml:space="preserve"> </w:t>
      </w:r>
      <w:r>
        <w:t xml:space="preserve">emergency remote teaching; Chinese as an additional language; digital inequality; language investment; Pakistan; curriculum</w:t>
      </w:r>
    </w:p>
    <w:bookmarkEnd w:id="20"/>
    <w:bookmarkStart w:id="21" w:name="introduction"/>
    <w:p>
      <w:pPr>
        <w:pStyle w:val="Heading2"/>
      </w:pPr>
      <w:r>
        <w:t xml:space="preserve">1. Introduction</w:t>
      </w:r>
    </w:p>
    <w:p>
      <w:pPr>
        <w:pStyle w:val="FirstParagraph"/>
      </w:pPr>
      <w:r>
        <w:t xml:space="preserve">When Chinese universities moved instruction online in 2020, many Pakistani students were already in Pakistan or soon returned there. They remained enrolled in Chinese-university language courses, yet the classroom they entered was a family home, a hostel, or a room shared with siblings, prepaid mobile data, and load-shedding. Chinese as an additional language did not disappear. What changed was the site at which a campus course had to be lived.</w:t>
      </w:r>
    </w:p>
    <w:p>
      <w:pPr>
        <w:pStyle w:val="BodyText"/>
      </w:pPr>
      <w:r>
        <w:t xml:space="preserve">A Chinese-university language course is more than a textbook and an HSK calendar. It is a planned sequence of live hours, oral tasks, and campus platforms that assume a dormitory, a timetable, and a login that works. Emergency remote teaching (Hodges et al., 2020) kept those elements and changed the place. Learners met the old course plan in households rather than in a redesigned distance-education programme. In this article</w:t>
      </w:r>
      <w:r>
        <w:t xml:space="preserve"> </w:t>
      </w:r>
      <w:r>
        <w:rPr>
          <w:iCs/>
          <w:i/>
        </w:rPr>
        <w:t xml:space="preserve">culture</w:t>
      </w:r>
      <w:r>
        <w:t xml:space="preserve"> </w:t>
      </w:r>
      <w:r>
        <w:t xml:space="preserve">means the household as the site of a Chinese class: the social organisation of space, work, gender, and time in which speaking and listening had to happen.</w:t>
      </w:r>
      <w:r>
        <w:t xml:space="preserve"> </w:t>
      </w:r>
      <w:r>
        <w:rPr>
          <w:iCs/>
          <w:i/>
        </w:rPr>
        <w:t xml:space="preserve">Curriculum</w:t>
      </w:r>
      <w:r>
        <w:t xml:space="preserve"> </w:t>
      </w:r>
      <w:r>
        <w:t xml:space="preserve">means the campus delivery plan (the live hour, the oral task, the campus login) when that plan is used off campus.</w:t>
      </w:r>
    </w:p>
    <w:p>
      <w:pPr>
        <w:pStyle w:val="BodyText"/>
      </w:pPr>
      <w:r>
        <w:t xml:space="preserve">Research on COVID-19 and language education documented teacher coping, task redesign, and learner anxiety, mainly in English-language classrooms or in China-based programmes (MacIntyre et al., 2020; Gacs et al., 2020; Moorhouse &amp; Kohnke, 2021; Xia et al., 2022). International Chinese Language Education (ICLE) has asked how textbooks, tests, and cultural content travel into overseas programmes (Zhao &amp; Huang, 2010; Gong, Gao, &amp; Lyu, 2020), and how international students experience language and culture</w:t>
      </w:r>
      <w:r>
        <w:t xml:space="preserve"> </w:t>
      </w:r>
      <w:r>
        <w:rPr>
          <w:iCs/>
          <w:i/>
        </w:rPr>
        <w:t xml:space="preserve">in</w:t>
      </w:r>
      <w:r>
        <w:t xml:space="preserve"> </w:t>
      </w:r>
      <w:r>
        <w:t xml:space="preserve">Chinese universities (Gao &amp; Hua, 2021; Gong, Gao, Li, &amp; Lai, 2020). Far less is known about Pakistani students who belong to Chinese universities but study Chinese from homes outside the Chinese campus network. That interrupted South-South route is the reverse of the usual</w:t>
      </w:r>
      <w:r>
        <w:t xml:space="preserve"> </w:t>
      </w:r>
      <w:r>
        <w:t xml:space="preserve">“</w:t>
      </w:r>
      <w:r>
        <w:t xml:space="preserve">international student in China</w:t>
      </w:r>
      <w:r>
        <w:t xml:space="preserve">”</w:t>
      </w:r>
      <w:r>
        <w:t xml:space="preserve"> </w:t>
      </w:r>
      <w:r>
        <w:t xml:space="preserve">account.</w:t>
      </w:r>
    </w:p>
    <w:p>
      <w:pPr>
        <w:pStyle w:val="BodyText"/>
      </w:pPr>
      <w:r>
        <w:t xml:space="preserve">The field has since moved on. Digital tools have become ordinary in many face-to-face language classrooms (Moorhouse, 2023; Moorhouse, Wong, &amp; Li, 2023), and investment research has begun to ask how generative AI reconfigures access and meaning-making (Darvin, 2025). Hybrid ICLE and HSK delivery, however, still often assume a login, a bandwidth, and a quiet room. Hajar and Karakuş (2024), writing in</w:t>
      </w:r>
      <w:r>
        <w:t xml:space="preserve"> </w:t>
      </w:r>
      <w:r>
        <w:rPr>
          <w:iCs/>
          <w:i/>
        </w:rPr>
        <w:t xml:space="preserve">Language, Culture and Curriculum</w:t>
      </w:r>
      <w:r>
        <w:t xml:space="preserve">, call for evidence on the (dis)investment of international students in languages other than English. Pakistani learners of Chinese belong on that agenda, but the first question is more basic: who could enter the class at all?</w:t>
      </w:r>
    </w:p>
    <w:p>
      <w:pPr>
        <w:pStyle w:val="BodyText"/>
      </w:pPr>
      <w:r>
        <w:t xml:space="preserve">This article reports a questionnaire completed by 38 students between 5 and 8 February 2022. It asks how digital inequality, including which Chinese-campus platforms opened from homes outside the campus network, related to participation in Chinese class under emergency remote teaching. Three questions guide the analysis:</w:t>
      </w:r>
    </w:p>
    <w:p>
      <w:pPr>
        <w:numPr>
          <w:ilvl w:val="0"/>
          <w:numId w:val="1001"/>
        </w:numPr>
        <w:pStyle w:val="Compact"/>
      </w:pPr>
      <w:r>
        <w:t xml:space="preserve">Which material, domestic, and platform conditions characterised emergency remote Chinese classes in this sample?</w:t>
      </w:r>
    </w:p>
    <w:p>
      <w:pPr>
        <w:numPr>
          <w:ilvl w:val="0"/>
          <w:numId w:val="1001"/>
        </w:numPr>
        <w:pStyle w:val="Compact"/>
      </w:pPr>
      <w:r>
        <w:t xml:space="preserve">How were those conditions related to stress, teacher interaction, and perceived learning?</w:t>
      </w:r>
    </w:p>
    <w:p>
      <w:pPr>
        <w:numPr>
          <w:ilvl w:val="0"/>
          <w:numId w:val="1001"/>
        </w:numPr>
        <w:pStyle w:val="Compact"/>
      </w:pPr>
      <w:r>
        <w:t xml:space="preserve">Did learners treat online Chinese as a legitimate substitute for campus study, and did that judgement differ by gender or by how much they thought they had learned?</w:t>
      </w:r>
    </w:p>
    <w:p>
      <w:pPr>
        <w:pStyle w:val="FirstParagraph"/>
      </w:pPr>
      <w:r>
        <w:t xml:space="preserve">The contribution is threefold. Empirically, the study offers an item-level account of household infrastructure, platform access, and participation among Pakistani (and one neighbouring) students of Chinese-university language courses. Conceptually, it reads those findings through sequential digital inequality (van Dijk, 2020) and, more cautiously, through language investment (Norton, 2013; Darvin &amp; Norton, 2015, 2023) as a lens on participation rather than as a measured construct. Practically, it argues that localising Chinese on this corridor has to include the conditions of delivery, not only the cultural content of textbooks.</w:t>
      </w:r>
    </w:p>
    <w:bookmarkEnd w:id="21"/>
    <w:bookmarkStart w:id="26" w:name="literature-review"/>
    <w:p>
      <w:pPr>
        <w:pStyle w:val="Heading2"/>
      </w:pPr>
      <w:r>
        <w:t xml:space="preserve">2. Literature review</w:t>
      </w:r>
    </w:p>
    <w:bookmarkStart w:id="22" w:name="X68dd8ebeb22cc7a16b333349dc5f722ace7abd5"/>
    <w:p>
      <w:pPr>
        <w:pStyle w:val="Heading3"/>
      </w:pPr>
      <w:r>
        <w:t xml:space="preserve">2.1 Emergency remote teaching and the copy of the campus hour</w:t>
      </w:r>
    </w:p>
    <w:p>
      <w:pPr>
        <w:pStyle w:val="FirstParagraph"/>
      </w:pPr>
      <w:r>
        <w:t xml:space="preserve">Hodges et al. (2020) distinguished emergency remote teaching from planned online or blended courses. The former is a temporary shift under crisis and does not follow a full instructional design cycle. Gacs, Goertler and Spasova (2020) applied that distinction to languages and warned against judging crisis teaching by the standards of mature online programmes. Reviews of teacher responses (Moorhouse &amp; Kohnke, 2021) and of learner affect (MacIntyre et al., 2020) report thinner interaction, anxious assessment, and the entry of the domestic setting into the lesson.</w:t>
      </w:r>
    </w:p>
    <w:p>
      <w:pPr>
        <w:pStyle w:val="BodyText"/>
      </w:pPr>
      <w:r>
        <w:t xml:space="preserve">Later work relocated rather than cancelled the distinction. Moorhouse, Wong and Li (2023) describe technological normalisation: tools becoming ordinary in everyday teaching. Moorhouse (2023) found that, in a well-resourced setting, many teachers kept digital tools after they returned to the physical classroom. Stockwell and Wang (2023) note a narrower pattern. Much emergency teaching used videoconferencing to copy face-to-face teaching, and that copy still shapes how teachers, learners, and administrators judge</w:t>
      </w:r>
      <w:r>
        <w:t xml:space="preserve"> </w:t>
      </w:r>
      <w:r>
        <w:t xml:space="preserve">“</w:t>
      </w:r>
      <w:r>
        <w:t xml:space="preserve">technology.</w:t>
      </w:r>
      <w:r>
        <w:t xml:space="preserve">”</w:t>
      </w:r>
      <w:r>
        <w:t xml:space="preserve"> </w:t>
      </w:r>
      <w:r>
        <w:t xml:space="preserve">For Chinese, the same years produced papers on</w:t>
      </w:r>
      <w:r>
        <w:t xml:space="preserve"> </w:t>
      </w:r>
      <w:r>
        <w:t xml:space="preserve">“</w:t>
      </w:r>
      <w:r>
        <w:t xml:space="preserve">suspending classes without stopping learning,</w:t>
      </w:r>
      <w:r>
        <w:t xml:space="preserve">”</w:t>
      </w:r>
      <w:r>
        <w:t xml:space="preserve"> </w:t>
      </w:r>
      <w:r>
        <w:t xml:space="preserve">platform trials, and blended models (Zhang et al., 2020; Xia et al., 2022). A later review of online ICLE still lists technical issues, weak interaction, and time-zone problems among the limits of blended teaching (Li &amp; Li, 2024). Much of that work assumes a Chinese campus system at one end of the link and a fairly stable connection at the other. That assumption does not travel automatically to Pakistan.</w:t>
      </w:r>
    </w:p>
    <w:bookmarkEnd w:id="22"/>
    <w:bookmarkStart w:id="23" w:name="digital-inequality-beyond-the-device"/>
    <w:p>
      <w:pPr>
        <w:pStyle w:val="Heading3"/>
      </w:pPr>
      <w:r>
        <w:t xml:space="preserve">2.2 Digital inequality beyond the device</w:t>
      </w:r>
    </w:p>
    <w:p>
      <w:pPr>
        <w:pStyle w:val="FirstParagraph"/>
      </w:pPr>
      <w:r>
        <w:t xml:space="preserve">Early digital-divide research asked who had a computer. Later models describe a sequence (van Dijk, 2020; Helsper, 2021): motivational access, material access, skills access, usage access, and outcomes. A student may own a smartphone and still lack a quiet hour, a prepaid balance, a keyboard suited to character input, or the skill to move between a live class and a PDF textbook. Warschauer (2003) argued that language learning on screens is stratified by these layers. Emergency remote teaching compressed them into one domestic scene.</w:t>
      </w:r>
    </w:p>
    <w:p>
      <w:pPr>
        <w:pStyle w:val="BodyText"/>
      </w:pPr>
      <w:r>
        <w:t xml:space="preserve">Owning a device is not the same as taking part. Rural-urban and household inequalities continue to shape who can sit in a live class (Ali, 2020). In Pakistan the household is also structured by gender. Raza and Hennessy (2025) show that girls’ home use of educational technology is shaped by device sharing, parental digital literacy, care work, and norms about who may be online, together with electricity and prepaid data. Students enrolled in China but studying from Pakistan occupied a third position. They were counted as Chinese-university students, assessed by Chinese-university rules, and physically located in Pakistani digital inequality. Which application opened is part of that inequality. Campus Chinese tools (QQ groups, Chaoxing, DingTalk) and consumer tools that work on Pakistani mobile networks (Zoom, WhatsApp) are not interchangeable logins. Copying the campus system into an offshore household can leave the official classroom on an application the student cannot enter.</w:t>
      </w:r>
    </w:p>
    <w:bookmarkEnd w:id="23"/>
    <w:bookmarkStart w:id="24" w:name="X9a4d76b78ba1fb82fa4a886c1de67efde849cbb"/>
    <w:p>
      <w:pPr>
        <w:pStyle w:val="Heading3"/>
      </w:pPr>
      <w:r>
        <w:t xml:space="preserve">2.3 Investment, motivation, and the household as structure</w:t>
      </w:r>
    </w:p>
    <w:p>
      <w:pPr>
        <w:pStyle w:val="FirstParagraph"/>
      </w:pPr>
      <w:r>
        <w:t xml:space="preserve">Motivation research can describe who wants to learn Chinese. It is weaker on who can act as a learner on a given afternoon. Norton’s (2013) construct of investment links identity, capital, and ideology. Learners invest when they expect a return in social and material terms, and they withdraw when the classroom, or its substitute, costs more than it returns. Darvin and Norton (2015) placed investment in a digital era of shifting structures. Darvin and Norton (2023) restated the difference from motivation: a learner may be highly motivated and still not invested in the practices of a given classroom if those practices are exclusionary or unworkable. Under emergency remote teaching, the relevant structure was the household: electricity, data, siblings, and the social meaning of sitting on a phone during a live class from Wuhan or Beijing.</w:t>
      </w:r>
    </w:p>
    <w:p>
      <w:pPr>
        <w:pStyle w:val="BodyText"/>
      </w:pPr>
      <w:r>
        <w:t xml:space="preserve">The construct remains current. Hajar and Karakuş (2024) map three decades of investment research in this journal and report that output is still rising. Their agenda includes the (dis)investment of international students in languages other than English, and investment in teaching those languages in Asia. Wen and Liu (2025) show that advanced learners of Chinese live pride, burnout, and anxiety as they move between lectures, teacher talk, group work, and extra-curricular activity. Under emergency remote teaching those classroom scenes were filtered through the household. Darvin (2025) has since updated the model for generative AI. The inequality he locates in who may enter a digital space already appeared here as who could open the class.</w:t>
      </w:r>
    </w:p>
    <w:p>
      <w:pPr>
        <w:pStyle w:val="BodyText"/>
      </w:pPr>
      <w:r>
        <w:t xml:space="preserve">COVID-19 was also a linguistic crisis: who could ask for help, in which language, on which channel (Piller, Zhang, &amp; Li, 2020). Pakistani learners of Chinese typically mediate through Urdu, English, and regional languages. A live Chinese class on an unfamiliar platform is therefore a language-access problem as well as a technical one.</w:t>
      </w:r>
    </w:p>
    <w:bookmarkEnd w:id="24"/>
    <w:bookmarkStart w:id="25" w:name="icle-on-the-pakistan-corridor"/>
    <w:p>
      <w:pPr>
        <w:pStyle w:val="Heading3"/>
      </w:pPr>
      <w:r>
        <w:t xml:space="preserve">2.4 ICLE on the Pakistan corridor</w:t>
      </w:r>
    </w:p>
    <w:p>
      <w:pPr>
        <w:pStyle w:val="FirstParagraph"/>
      </w:pPr>
      <w:r>
        <w:t xml:space="preserve">China’s promotion of Chinese as an international language has long been tied to institutes, textbooks, and tests (Zhao &amp; Huang, 2010). Pakistani interest in Chinese is bound up with the China-Pakistan Economic Corridor, scholarships, and employment, and that demand remains live in Punjab and Sindh (Iftikhar et al., 2024). Attitude studies rarely capture the course that was supposed to produce the proficiency, namely the Chinese-university language class, when the student could not be on campus.</w:t>
      </w:r>
    </w:p>
    <w:p>
      <w:pPr>
        <w:pStyle w:val="BodyText"/>
      </w:pPr>
      <w:r>
        <w:t xml:space="preserve">ICLE research after COVID-19 has turned toward blended models, interaction design, and cultural adaptation (Gong, Gao, &amp; Lyu, 2020; Li &amp; Li, 2024). Guenier, Xing and Yan (2026) describe a designed multimodal online course that communicates Chinese culture to Irish learners. That is planned online teaching, not emergency remote teaching. Gong, Gao, Li and Lai (2020) document New Zealand students’ cultural adaptation while they were physically in China; Gao and Hua (2021) collected that campus-in-China agenda in this journal. Work based in Pakistani universities has begun to document localisation of</w:t>
      </w:r>
      <w:r>
        <w:t xml:space="preserve"> </w:t>
      </w:r>
      <w:r>
        <w:rPr>
          <w:iCs/>
          <w:i/>
        </w:rPr>
        <w:t xml:space="preserve">HSK Standard Course</w:t>
      </w:r>
      <w:r>
        <w:t xml:space="preserve">, including Urdu annotation and programme fit inside Pakistan (Lu et al., 2024). Those studies concern programmes in Pakistan. The present students were enrolled in Chinese universities. The two groups share a language, a test culture, and often a textbook family. They do not share a campus. Adapting a book for a Pakistani institute is not the same task as keeping a Chinese-university language course alive in a Karachi or Lahore household at 21:00 after a power cut.</w:t>
      </w:r>
    </w:p>
    <w:p>
      <w:pPr>
        <w:pStyle w:val="BodyText"/>
      </w:pPr>
      <w:r>
        <w:t xml:space="preserve">Guerrettaz et al. (2021) treat materials as what happens in use. Under emergency remote teaching the material was a live class and the use was a phone in a shared room. Curriculum research that stops at the page of the book will miss that scene. Shan and Xu (2024) show that students experience an institutionalised language curriculum as a fixed pathway they may also negotiate. The students in this study were asked to follow a Chinese-university pathway from sites that often could not hold a campus oral hour.</w:t>
      </w:r>
    </w:p>
    <w:p>
      <w:pPr>
        <w:pStyle w:val="BodyText"/>
      </w:pPr>
      <w:r>
        <w:t xml:space="preserve">Post-pandemic CALL has moved toward normalisation and AI, often in English classrooms with working campus Wi-Fi (Moorhouse et al., 2023; Darvin, 2025). Digital-inequality research under-represents additional-language classrooms. Pakistan EdTech gender work has so far spoken mainly about school homes (Raza &amp; Hennessy, 2025). ICLE localisation research under-represents the home as a site of delivery, and under-represents which Chinese-campus applications open from phones outside China. Investment research is asking for South-South evidence on international students of languages other than English (Hajar &amp; Karakuş, 2024). The present study addresses that gap at the point where inequality entered participation.</w:t>
      </w:r>
    </w:p>
    <w:bookmarkEnd w:id="25"/>
    <w:bookmarkEnd w:id="26"/>
    <w:bookmarkStart w:id="27" w:name="theoretical-framework"/>
    <w:p>
      <w:pPr>
        <w:pStyle w:val="Heading2"/>
      </w:pPr>
      <w:r>
        <w:t xml:space="preserve">3. Theoretical framework</w:t>
      </w:r>
    </w:p>
    <w:p>
      <w:pPr>
        <w:pStyle w:val="FirstParagraph"/>
      </w:pPr>
      <w:r>
        <w:t xml:space="preserve">The study uses a material-context model of remote Chinese learning (Figure 1). Three layers are treated as concurrent conditions, not as a tested causal path.</w:t>
      </w:r>
    </w:p>
    <w:p>
      <w:pPr>
        <w:pStyle w:val="BodyText"/>
      </w:pPr>
      <w:r>
        <w:t xml:space="preserve">The first layer is sequential digital inequality (van Dijk, 2020). Electricity, devices, bandwidth, platform skills, and time are ordered resources. Absence at an earlier layer blocks later ones. Without power there is no live class. Without a usable login there is little interaction even if the class is on.</w:t>
      </w:r>
    </w:p>
    <w:p>
      <w:pPr>
        <w:pStyle w:val="BodyText"/>
      </w:pPr>
      <w:r>
        <w:t xml:space="preserve">The second layer is home ecology. Following ecological views of language education (van Lier, 2004; Guerrettaz et al., 2021), the unit of analysis is the household rather than</w:t>
      </w:r>
      <w:r>
        <w:t xml:space="preserve"> </w:t>
      </w:r>
      <w:r>
        <w:t xml:space="preserve">“</w:t>
      </w:r>
      <w:r>
        <w:t xml:space="preserve">the student plus the application</w:t>
      </w:r>
      <w:r>
        <w:t xml:space="preserve">”</w:t>
      </w:r>
      <w:r>
        <w:t xml:space="preserve">: shared rooms, family labour, gendered domestic space, and the China-Pakistan time difference. Emergency remote teaching relocated the Chinese classroom into this ecology without redesigning the lesson or the house.</w:t>
      </w:r>
    </w:p>
    <w:p>
      <w:pPr>
        <w:pStyle w:val="BodyText"/>
      </w:pPr>
      <w:r>
        <w:t xml:space="preserve">The third layer is investment (Norton, 2013; Darvin &amp; Norton, 2015, 2023). The questionnaire did not include items on identity or imagined return. Investment is therefore a reading of participation: self-reported teacher interaction, self-appraised learning, and whether online Chinese was judged a substitute for campus study. Withdrawal is inferred when students report remaining silent, or conclude that online Chinese cannot replace the campus.</w:t>
      </w:r>
    </w:p>
    <w:p>
      <w:pPr>
        <w:pStyle w:val="BodyText"/>
      </w:pPr>
      <w:r>
        <w:t xml:space="preserve">Outcomes are distinguished as affective (stress), interactional (teacher exchange), and perceived learning (a three-item appraisal: learned much, improves Chinese, sparks interest). The conditions available in the questionnaire are infrastructure (power, signal, speed), home ecology (noise, whether the home</w:t>
      </w:r>
      <w:r>
        <w:t xml:space="preserve"> </w:t>
      </w:r>
      <w:r>
        <w:t xml:space="preserve">“</w:t>
      </w:r>
      <w:r>
        <w:t xml:space="preserve">affects study</w:t>
      </w:r>
      <w:r>
        <w:t xml:space="preserve">”</w:t>
      </w:r>
      <w:r>
        <w:t xml:space="preserve">), platform geography (which applications open), and paid work versus study only.</w:t>
      </w:r>
    </w:p>
    <w:p>
      <w:pPr>
        <w:pStyle w:val="BodyText"/>
      </w:pPr>
      <w:r>
        <w:t xml:space="preserve">Figure 1. Material-context model of emergency remote Chinese learning (a reading model, not a tested path). Sequential digital inequality (power, signal, speed), platform geography (campus systems versus Zoom or WhatsApp), and home ecology (space, family, paid work) are treated as concurrent conditions. They are read as shaping participation in Chinese and the self-reported outcomes of stress, interaction, and learning appraisal.</w:t>
      </w:r>
    </w:p>
    <w:bookmarkEnd w:id="27"/>
    <w:bookmarkStart w:id="33" w:name="the-study"/>
    <w:p>
      <w:pPr>
        <w:pStyle w:val="Heading2"/>
      </w:pPr>
      <w:r>
        <w:t xml:space="preserve">4. The study</w:t>
      </w:r>
    </w:p>
    <w:bookmarkStart w:id="28" w:name="context-and-design"/>
    <w:p>
      <w:pPr>
        <w:pStyle w:val="Heading3"/>
      </w:pPr>
      <w:r>
        <w:t xml:space="preserve">4.1 Context and design</w:t>
      </w:r>
    </w:p>
    <w:p>
      <w:pPr>
        <w:pStyle w:val="FirstParagraph"/>
      </w:pPr>
      <w:r>
        <w:t xml:space="preserve">Respondents were enrolled in Chinese-university language courses that had moved online. In early February 2022 many Pakistani students were at home rather than in a Chinese dormitory; nine responses were still labelled mainland China. The course they were expected to attend assumed a campus timetable, a live oral hour, and a login on a Chinese-campus platform. The household, the power supply, and the applications that opened from a Pakistani mobile network were not part of that plan. The questionnaire does not name the host university, the textbook, or an HSK target. Curriculum here means that campus delivery plan as lived.</w:t>
      </w:r>
    </w:p>
    <w:p>
      <w:pPr>
        <w:pStyle w:val="BodyText"/>
      </w:pPr>
      <w:r>
        <w:t xml:space="preserve">The study is a cross-sectional questionnaire of how that course was experienced from wherever the student sat that week. Data come from a Chinese-medium Wenjuan questionnaire on influencing factors in international students’ online Chinese learning during COVID-19 (38 complete cases, 5 to 8 February 2022).</w:t>
      </w:r>
    </w:p>
    <w:bookmarkEnd w:id="28"/>
    <w:bookmarkStart w:id="29" w:name="participants"/>
    <w:p>
      <w:pPr>
        <w:pStyle w:val="Heading3"/>
      </w:pPr>
      <w:r>
        <w:t xml:space="preserve">4.2 Participants</w:t>
      </w:r>
    </w:p>
    <w:p>
      <w:pPr>
        <w:pStyle w:val="FirstParagraph"/>
      </w:pPr>
      <w:r>
        <w:t xml:space="preserve">Of 38 respondents, 27 were men (71.1%) and 11 women (28.9%). Thirty-seven selected Pakistani nationality and one selected</w:t>
      </w:r>
      <w:r>
        <w:t xml:space="preserve"> </w:t>
      </w:r>
      <w:r>
        <w:t xml:space="preserve">“</w:t>
      </w:r>
      <w:r>
        <w:t xml:space="preserve">other</w:t>
      </w:r>
      <w:r>
        <w:t xml:space="preserve">”</w:t>
      </w:r>
      <w:r>
        <w:t xml:space="preserve"> </w:t>
      </w:r>
      <w:r>
        <w:t xml:space="preserve">(Bangladesh). Self-rated Chinese level was mostly advanced (22, 57.9%) or intermediate (15, 39.5%); one beginner. That label is the student’s own, not an HSK band. Years of learning Chinese clustered at three to four years (26, 68.4%). All submissions used a phone (iPhone 24, 63.2%; Android 14). Device ownership was therefore not the main gap. IP geolocation placed nine responses in mainland China and 29 elsewhere. The main analysis keeps all 38 cases. The form did not ask whether the student held a China Scholarship Council award, so the sample is described as Chinese-university language students.</w:t>
      </w:r>
    </w:p>
    <w:p>
      <w:pPr>
        <w:pStyle w:val="BodyText"/>
      </w:pPr>
      <w:r>
        <w:t xml:space="preserve">The sample is a network-recruited convenience sample, not a draw from all Pakistani students in Chinese universities. Scholarship routes from Pakistan have long been male-heavy in some tracks, and a questionnaire link passed through student networks will reproduce that skew. Eleven women are too few to describe Pakistani women’s home classrooms. Percentages for the whole sample therefore combine men’s experience with a small female minority. Gender is tested where the instrument allows (research question 3). Non-significant gender tests are treated as inconclusive.</w:t>
      </w:r>
    </w:p>
    <w:bookmarkEnd w:id="29"/>
    <w:bookmarkStart w:id="30" w:name="instrument"/>
    <w:p>
      <w:pPr>
        <w:pStyle w:val="Heading3"/>
      </w:pPr>
      <w:r>
        <w:t xml:space="preserve">4.3 Instrument</w:t>
      </w:r>
    </w:p>
    <w:p>
      <w:pPr>
        <w:pStyle w:val="FirstParagraph"/>
      </w:pPr>
      <w:r>
        <w:t xml:space="preserve">The questionnaire comprised about 30 items: demographics, single-choice ordinals, and multiple-response lists of courses, problems, platforms, and forms of interaction. Stems are in Chinese, with some non-native wording (for example 您尝尝用什么平台). We translate for reporting and analysed the coded values.</w:t>
      </w:r>
    </w:p>
    <w:p>
      <w:pPr>
        <w:pStyle w:val="BodyText"/>
      </w:pPr>
      <w:r>
        <w:t xml:space="preserve">A learning-appraisal composite was formed from three same-direction ordinals (learned much; improves Chinese; sparks interest). Cronbach’s α = .84. Higher scores on the composites used below indicate a worse condition or a thinner outcome: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1 means</w:t>
            </w:r>
          </w:p>
        </w:tc>
        <w:tc>
          <w:tcPr/>
          <w:p>
            <w:pPr>
              <w:pStyle w:val="Compact"/>
              <w:jc w:val="left"/>
            </w:pPr>
            <w:r>
              <w:t xml:space="preserve">Higher means</w:t>
            </w:r>
          </w:p>
        </w:tc>
      </w:tr>
      <w:tr>
        <w:tc>
          <w:tcPr/>
          <w:p>
            <w:pPr>
              <w:pStyle w:val="Compact"/>
              <w:jc w:val="left"/>
            </w:pPr>
            <w:r>
              <w:t xml:space="preserve">Speed</w:t>
            </w:r>
          </w:p>
        </w:tc>
        <w:tc>
          <w:tcPr/>
          <w:p>
            <w:pPr>
              <w:pStyle w:val="Compact"/>
              <w:jc w:val="left"/>
            </w:pPr>
            <w:r>
              <w:t xml:space="preserve">very good</w:t>
            </w:r>
          </w:p>
        </w:tc>
        <w:tc>
          <w:tcPr/>
          <w:p>
            <w:pPr>
              <w:pStyle w:val="Compact"/>
              <w:jc w:val="left"/>
            </w:pPr>
            <w:r>
              <w:t xml:space="preserve">worse speed</w:t>
            </w:r>
          </w:p>
        </w:tc>
      </w:tr>
      <w:tr>
        <w:tc>
          <w:tcPr/>
          <w:p>
            <w:pPr>
              <w:pStyle w:val="Compact"/>
              <w:jc w:val="left"/>
            </w:pPr>
            <w:r>
              <w:t xml:space="preserve">Learned / improve / interest</w:t>
            </w:r>
          </w:p>
        </w:tc>
        <w:tc>
          <w:tcPr/>
          <w:p>
            <w:pPr>
              <w:pStyle w:val="Compact"/>
              <w:jc w:val="left"/>
            </w:pPr>
            <w:r>
              <w:t xml:space="preserve">a lot / very much</w:t>
            </w:r>
          </w:p>
        </w:tc>
        <w:tc>
          <w:tcPr/>
          <w:p>
            <w:pPr>
              <w:pStyle w:val="Compact"/>
              <w:jc w:val="left"/>
            </w:pPr>
            <w:r>
              <w:t xml:space="preserve">worse appraisal</w:t>
            </w:r>
          </w:p>
        </w:tc>
      </w:tr>
      <w:tr>
        <w:tc>
          <w:tcPr/>
          <w:p>
            <w:pPr>
              <w:pStyle w:val="Compact"/>
              <w:jc w:val="left"/>
            </w:pPr>
            <w:r>
              <w:t xml:space="preserve">Stress</w:t>
            </w:r>
          </w:p>
        </w:tc>
        <w:tc>
          <w:tcPr/>
          <w:p>
            <w:pPr>
              <w:pStyle w:val="Compact"/>
              <w:jc w:val="left"/>
            </w:pPr>
            <w:r>
              <w:t xml:space="preserve">very high</w:t>
            </w:r>
          </w:p>
        </w:tc>
        <w:tc>
          <w:tcPr/>
          <w:p>
            <w:pPr>
              <w:pStyle w:val="Compact"/>
              <w:jc w:val="left"/>
            </w:pPr>
            <w:r>
              <w:t xml:space="preserve">less stress</w:t>
            </w:r>
          </w:p>
        </w:tc>
      </w:tr>
      <w:tr>
        <w:tc>
          <w:tcPr/>
          <w:p>
            <w:pPr>
              <w:pStyle w:val="Compact"/>
              <w:jc w:val="left"/>
            </w:pPr>
            <w:r>
              <w:t xml:space="preserve">Teacher interaction</w:t>
            </w:r>
          </w:p>
        </w:tc>
        <w:tc>
          <w:tcPr/>
          <w:p>
            <w:pPr>
              <w:pStyle w:val="Compact"/>
              <w:jc w:val="left"/>
            </w:pPr>
            <w:r>
              <w:t xml:space="preserve">very much</w:t>
            </w:r>
          </w:p>
        </w:tc>
        <w:tc>
          <w:tcPr/>
          <w:p>
            <w:pPr>
              <w:pStyle w:val="Compact"/>
              <w:jc w:val="left"/>
            </w:pPr>
            <w:r>
              <w:t xml:space="preserve">thinner interaction</w:t>
            </w:r>
          </w:p>
        </w:tc>
      </w:tr>
    </w:tbl>
    <w:p>
      <w:pPr>
        <w:pStyle w:val="BodyText"/>
      </w:pPr>
      <w:r>
        <w:t xml:space="preserve">One open comment on preferred class length is retained:</w:t>
      </w:r>
      <w:r>
        <w:t xml:space="preserve"> </w:t>
      </w:r>
      <w:r>
        <w:t xml:space="preserve">“</w:t>
      </w:r>
      <w:r>
        <w:t xml:space="preserve">我觉得中国现在让学生回来上课。在线上上课一分钟也不合适</w:t>
      </w:r>
      <w:r>
        <w:t xml:space="preserve">”</w:t>
      </w:r>
      <w:r>
        <w:t xml:space="preserve"> </w:t>
      </w:r>
      <w:r>
        <w:t xml:space="preserve">(I think China should have students come back to class now. Even one minute of online class is not suitable). Names, IP addresses, and exact timestamps beyond the date were removed before analysis.</w:t>
      </w:r>
    </w:p>
    <w:bookmarkEnd w:id="30"/>
    <w:bookmarkStart w:id="31" w:name="analysis"/>
    <w:p>
      <w:pPr>
        <w:pStyle w:val="Heading3"/>
      </w:pPr>
      <w:r>
        <w:t xml:space="preserve">4.4 Analysis</w:t>
      </w:r>
    </w:p>
    <w:p>
      <w:pPr>
        <w:pStyle w:val="FirstParagraph"/>
      </w:pPr>
      <w:r>
        <w:t xml:space="preserve">Frequencies are reported as n/38. Multiple-response items are the percentage of respondents who selected the option. The learning-appraisal score is the mean of learned, improve, and interest (higher = worse). For 2×2 associations we used Fisher’s exact test and report odds ratios with 95% confidence intervals and φ. For ordinal pairs we used Spearman’s ρ. Gender differences on ordinals were checked with Mann-Whitney U (all</w:t>
      </w:r>
      <w:r>
        <w:t xml:space="preserve"> </w:t>
      </w:r>
      <w:r>
        <w:rPr>
          <w:iCs/>
          <w:i/>
        </w:rPr>
        <w:t xml:space="preserve">p</w:t>
      </w:r>
      <w:r>
        <w:t xml:space="preserve"> </w:t>
      </w:r>
      <w:r>
        <w:t xml:space="preserve">&gt; .10). Sensitivity analyses repeat the two focal tests among Pakistani respondents only (n = 37) and among cases whose IP was not labelled mainland China (n = 29). The tests are exploratory. With n = 38 and several associations,</w:t>
      </w:r>
      <w:r>
        <w:t xml:space="preserve"> </w:t>
      </w:r>
      <w:r>
        <w:rPr>
          <w:iCs/>
          <w:i/>
        </w:rPr>
        <w:t xml:space="preserve">p</w:t>
      </w:r>
      <w:r>
        <w:t xml:space="preserve"> </w:t>
      </w:r>
      <w:r>
        <w:t xml:space="preserve">values are not Bonferroni-adjusted.</w:t>
      </w:r>
    </w:p>
    <w:bookmarkEnd w:id="31"/>
    <w:bookmarkStart w:id="32" w:name="ethics"/>
    <w:p>
      <w:pPr>
        <w:pStyle w:val="Heading3"/>
      </w:pPr>
      <w:r>
        <w:t xml:space="preserve">4.5 Ethics</w:t>
      </w:r>
    </w:p>
    <w:p>
      <w:pPr>
        <w:pStyle w:val="FirstParagraph"/>
      </w:pPr>
      <w:r>
        <w:t xml:space="preserve">Adult students completed an online questionnaire presented as research on online Chinese learning. Submission of the form was treated as consent to use anonymised answers. Names, IP addresses, and exact timestamps beyond the collection dates were removed before analysis and are not published. Gender is reported because it structured one finding.</w:t>
      </w:r>
    </w:p>
    <w:bookmarkEnd w:id="32"/>
    <w:bookmarkEnd w:id="33"/>
    <w:bookmarkStart w:id="40" w:name="results"/>
    <w:p>
      <w:pPr>
        <w:pStyle w:val="Heading2"/>
      </w:pPr>
      <w:r>
        <w:t xml:space="preserve">5. Results</w:t>
      </w:r>
    </w:p>
    <w:bookmarkStart w:id="34" w:name="who-sat-in-the-class"/>
    <w:p>
      <w:pPr>
        <w:pStyle w:val="Heading3"/>
      </w:pPr>
      <w:r>
        <w:t xml:space="preserve">5.1 Who sat in the class</w:t>
      </w:r>
    </w:p>
    <w:p>
      <w:pPr>
        <w:pStyle w:val="FirstParagraph"/>
      </w:pPr>
      <w:r>
        <w:t xml:space="preserve">Table 1 locates the sample. It is small, phone-based, and majority male. Most respondents (78.9%) said all of their Chinese classes were online. More than half (57.9%) were working alongside study. Nine IP addresses were labelled mainland China. The analysis therefore describes an interrupted Chinese-university cohort rather than a group in which everyone sat in Pakistan that week.</w:t>
      </w:r>
    </w:p>
    <w:p>
      <w:pPr>
        <w:pStyle w:val="BodyText"/>
      </w:pPr>
      <w:r>
        <w:rPr>
          <w:bCs/>
          <w:b/>
        </w:rPr>
        <w:t xml:space="preserve">Table 1</w:t>
      </w:r>
    </w:p>
    <w:p>
      <w:pPr>
        <w:pStyle w:val="BodyText"/>
      </w:pPr>
      <w:r>
        <w:rPr>
          <w:iCs/>
          <w:i/>
        </w:rPr>
        <w:t xml:space="preserve">Demographic and study profile of respondents (N = 38)</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Male</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Female</w:t>
            </w:r>
          </w:p>
        </w:tc>
        <w:tc>
          <w:tcPr/>
          <w:p>
            <w:pPr>
              <w:pStyle w:val="Compact"/>
              <w:jc w:val="right"/>
            </w:pPr>
            <w:r>
              <w:t xml:space="preserve">11</w:t>
            </w:r>
          </w:p>
        </w:tc>
        <w:tc>
          <w:tcPr/>
          <w:p>
            <w:pPr>
              <w:pStyle w:val="Compact"/>
              <w:jc w:val="right"/>
            </w:pPr>
            <w:r>
              <w:t xml:space="preserve">28.9</w:t>
            </w:r>
          </w:p>
        </w:tc>
      </w:tr>
      <w:tr>
        <w:tc>
          <w:tcPr/>
          <w:p>
            <w:pPr>
              <w:pStyle w:val="Compact"/>
              <w:jc w:val="left"/>
            </w:pPr>
            <w:r>
              <w:t xml:space="preserve">Pakistani</w:t>
            </w:r>
          </w:p>
        </w:tc>
        <w:tc>
          <w:tcPr/>
          <w:p>
            <w:pPr>
              <w:pStyle w:val="Compact"/>
              <w:jc w:val="right"/>
            </w:pPr>
            <w:r>
              <w:t xml:space="preserve">37</w:t>
            </w:r>
          </w:p>
        </w:tc>
        <w:tc>
          <w:tcPr/>
          <w:p>
            <w:pPr>
              <w:pStyle w:val="Compact"/>
              <w:jc w:val="right"/>
            </w:pPr>
            <w:r>
              <w:t xml:space="preserve">97.4</w:t>
            </w:r>
          </w:p>
        </w:tc>
      </w:tr>
      <w:tr>
        <w:tc>
          <w:tcPr/>
          <w:p>
            <w:pPr>
              <w:pStyle w:val="Compact"/>
              <w:jc w:val="left"/>
            </w:pPr>
            <w:r>
              <w:t xml:space="preserve">Other (Bangladesh)</w:t>
            </w:r>
          </w:p>
        </w:tc>
        <w:tc>
          <w:tcPr/>
          <w:p>
            <w:pPr>
              <w:pStyle w:val="Compact"/>
              <w:jc w:val="right"/>
            </w:pPr>
            <w:r>
              <w:t xml:space="preserve">1</w:t>
            </w:r>
          </w:p>
        </w:tc>
        <w:tc>
          <w:tcPr/>
          <w:p>
            <w:pPr>
              <w:pStyle w:val="Compact"/>
              <w:jc w:val="right"/>
            </w:pPr>
            <w:r>
              <w:t xml:space="preserve">2.6</w:t>
            </w:r>
          </w:p>
        </w:tc>
      </w:tr>
      <w:tr>
        <w:tc>
          <w:tcPr/>
          <w:p>
            <w:pPr>
              <w:pStyle w:val="Compact"/>
              <w:jc w:val="left"/>
            </w:pPr>
            <w:r>
              <w:t xml:space="preserve">Beginner / intermediate / advanced Chinese</w:t>
            </w:r>
          </w:p>
        </w:tc>
        <w:tc>
          <w:tcPr/>
          <w:p>
            <w:pPr>
              <w:pStyle w:val="Compact"/>
              <w:jc w:val="right"/>
            </w:pPr>
            <w:r>
              <w:t xml:space="preserve">1 / 15 / 22</w:t>
            </w:r>
          </w:p>
        </w:tc>
        <w:tc>
          <w:tcPr/>
          <w:p>
            <w:pPr>
              <w:pStyle w:val="Compact"/>
              <w:jc w:val="right"/>
            </w:pPr>
            <w:r>
              <w:t xml:space="preserve">2.6 / 39.5 / 57.9</w:t>
            </w:r>
          </w:p>
        </w:tc>
      </w:tr>
      <w:tr>
        <w:tc>
          <w:tcPr/>
          <w:p>
            <w:pPr>
              <w:pStyle w:val="Compact"/>
              <w:jc w:val="left"/>
            </w:pPr>
            <w:r>
              <w:t xml:space="preserve">Years of Chinese: 1 to 2 / 3 to 4 / 5 to 6 / 6+</w:t>
            </w:r>
          </w:p>
        </w:tc>
        <w:tc>
          <w:tcPr/>
          <w:p>
            <w:pPr>
              <w:pStyle w:val="Compact"/>
              <w:jc w:val="right"/>
            </w:pPr>
            <w:r>
              <w:t xml:space="preserve">3 / 26 / 8 / 1</w:t>
            </w:r>
          </w:p>
        </w:tc>
        <w:tc>
          <w:tcPr/>
          <w:p>
            <w:pPr>
              <w:pStyle w:val="Compact"/>
              <w:jc w:val="right"/>
            </w:pPr>
            <w:r>
              <w:t xml:space="preserve">7.9 / 68.4 / 21.1 / 2.6</w:t>
            </w:r>
          </w:p>
        </w:tc>
      </w:tr>
      <w:tr>
        <w:tc>
          <w:tcPr/>
          <w:p>
            <w:pPr>
              <w:pStyle w:val="Compact"/>
              <w:jc w:val="left"/>
            </w:pPr>
            <w:r>
              <w:t xml:space="preserve">All Chinese classes online</w:t>
            </w:r>
          </w:p>
        </w:tc>
        <w:tc>
          <w:tcPr/>
          <w:p>
            <w:pPr>
              <w:pStyle w:val="Compact"/>
              <w:jc w:val="right"/>
            </w:pPr>
            <w:r>
              <w:t xml:space="preserve">30</w:t>
            </w:r>
          </w:p>
        </w:tc>
        <w:tc>
          <w:tcPr/>
          <w:p>
            <w:pPr>
              <w:pStyle w:val="Compact"/>
              <w:jc w:val="right"/>
            </w:pPr>
            <w:r>
              <w:t xml:space="preserve">78.9</w:t>
            </w:r>
          </w:p>
        </w:tc>
      </w:tr>
      <w:tr>
        <w:tc>
          <w:tcPr/>
          <w:p>
            <w:pPr>
              <w:pStyle w:val="Compact"/>
              <w:jc w:val="left"/>
            </w:pPr>
            <w:r>
              <w:t xml:space="preserve">Working while studying</w:t>
            </w:r>
          </w:p>
        </w:tc>
        <w:tc>
          <w:tcPr/>
          <w:p>
            <w:pPr>
              <w:pStyle w:val="Compact"/>
              <w:jc w:val="right"/>
            </w:pPr>
            <w:r>
              <w:t xml:space="preserve">22</w:t>
            </w:r>
          </w:p>
        </w:tc>
        <w:tc>
          <w:tcPr/>
          <w:p>
            <w:pPr>
              <w:pStyle w:val="Compact"/>
              <w:jc w:val="right"/>
            </w:pPr>
            <w:r>
              <w:t xml:space="preserve">57.9</w:t>
            </w:r>
          </w:p>
        </w:tc>
      </w:tr>
      <w:tr>
        <w:tc>
          <w:tcPr/>
          <w:p>
            <w:pPr>
              <w:pStyle w:val="Compact"/>
              <w:jc w:val="left"/>
            </w:pPr>
            <w:r>
              <w:t xml:space="preserve">Phone: iPhone / Android</w:t>
            </w:r>
          </w:p>
        </w:tc>
        <w:tc>
          <w:tcPr/>
          <w:p>
            <w:pPr>
              <w:pStyle w:val="Compact"/>
              <w:jc w:val="right"/>
            </w:pPr>
            <w:r>
              <w:t xml:space="preserve">24 / 14</w:t>
            </w:r>
          </w:p>
        </w:tc>
        <w:tc>
          <w:tcPr/>
          <w:p>
            <w:pPr>
              <w:pStyle w:val="Compact"/>
              <w:jc w:val="right"/>
            </w:pPr>
            <w:r>
              <w:t xml:space="preserve">63.2 / 36.8</w:t>
            </w:r>
          </w:p>
        </w:tc>
      </w:tr>
      <w:tr>
        <w:tc>
          <w:tcPr/>
          <w:p>
            <w:pPr>
              <w:pStyle w:val="Compact"/>
              <w:jc w:val="left"/>
            </w:pPr>
            <w:r>
              <w:t xml:space="preserve">IP geolocated in mainland China</w:t>
            </w:r>
          </w:p>
        </w:tc>
        <w:tc>
          <w:tcPr/>
          <w:p>
            <w:pPr>
              <w:pStyle w:val="Compact"/>
              <w:jc w:val="right"/>
            </w:pPr>
            <w:r>
              <w:t xml:space="preserve">9</w:t>
            </w:r>
          </w:p>
        </w:tc>
        <w:tc>
          <w:tcPr/>
          <w:p>
            <w:pPr>
              <w:pStyle w:val="Compact"/>
              <w:jc w:val="right"/>
            </w:pPr>
            <w:r>
              <w:t xml:space="preserve">23.7</w:t>
            </w:r>
          </w:p>
        </w:tc>
      </w:tr>
      <w:tr>
        <w:tc>
          <w:tcPr/>
          <w:p>
            <w:pPr>
              <w:pStyle w:val="Compact"/>
              <w:jc w:val="left"/>
            </w:pPr>
            <w:r>
              <w:t xml:space="preserve">Total</w:t>
            </w:r>
          </w:p>
        </w:tc>
        <w:tc>
          <w:tcPr/>
          <w:p>
            <w:pPr>
              <w:pStyle w:val="Compact"/>
              <w:jc w:val="right"/>
            </w:pPr>
            <w:r>
              <w:t xml:space="preserve">38</w:t>
            </w:r>
          </w:p>
        </w:tc>
        <w:tc>
          <w:tcPr/>
          <w:p>
            <w:pPr>
              <w:pStyle w:val="Compact"/>
              <w:jc w:val="right"/>
            </w:pPr>
            <w:r>
              <w:t xml:space="preserve">100</w:t>
            </w:r>
          </w:p>
        </w:tc>
      </w:tr>
    </w:tbl>
    <w:p>
      <w:pPr>
        <w:pStyle w:val="BodyText"/>
      </w:pPr>
      <w:r>
        <w:rPr>
          <w:iCs/>
          <w:i/>
        </w:rPr>
        <w:t xml:space="preserve">Note.</w:t>
      </w:r>
      <w:r>
        <w:t xml:space="preserve"> </w:t>
      </w:r>
      <w:r>
        <w:t xml:space="preserve">Convenience sample, Wenjuan, 5 to 8 February 2022.</w:t>
      </w:r>
    </w:p>
    <w:bookmarkEnd w:id="34"/>
    <w:bookmarkStart w:id="35" w:name="household-conditions-and-stress"/>
    <w:p>
      <w:pPr>
        <w:pStyle w:val="Heading3"/>
      </w:pPr>
      <w:r>
        <w:t xml:space="preserve">5.2 Household conditions and stress</w:t>
      </w:r>
    </w:p>
    <w:p>
      <w:pPr>
        <w:pStyle w:val="FirstParagraph"/>
      </w:pPr>
      <w:r>
        <w:t xml:space="preserve">Table 2 summarises the conditions of study. Unstable networks (76.3%), power cuts (42.1%), and no signal (31.6%) were common. Most respondents (89.5%) said their country</w:t>
      </w:r>
      <w:r>
        <w:t xml:space="preserve"> </w:t>
      </w:r>
      <w:r>
        <w:t xml:space="preserve">“</w:t>
      </w:r>
      <w:r>
        <w:t xml:space="preserve">has internet,</w:t>
      </w:r>
      <w:r>
        <w:t xml:space="preserve">”</w:t>
      </w:r>
      <w:r>
        <w:t xml:space="preserve"> </w:t>
      </w:r>
      <w:r>
        <w:t xml:space="preserve">but speed was split: 36.8% good or very good, 36.8% average, and 26.3% bad or very bad. Four people (10.5%) said there was no internet in their country, yet all 38 submitted an online form. That item is better read as no stable home broadband than as no network at all.</w:t>
      </w:r>
    </w:p>
    <w:p>
      <w:pPr>
        <w:pStyle w:val="BodyText"/>
      </w:pPr>
      <w:r>
        <w:t xml:space="preserve">Only 11 of 38 (28.9%) described the home as quiet; 71.1% chose noisy or lively. Fourteen (36.8%) said the home affected study</w:t>
      </w:r>
      <w:r>
        <w:t xml:space="preserve"> </w:t>
      </w:r>
      <w:r>
        <w:t xml:space="preserve">“</w:t>
      </w:r>
      <w:r>
        <w:t xml:space="preserve">very much.</w:t>
      </w:r>
      <w:r>
        <w:t xml:space="preserve">”</w:t>
      </w:r>
      <w:r>
        <w:t xml:space="preserve"> </w:t>
      </w:r>
      <w:r>
        <w:t xml:space="preserve">All 38 answered from a phone. The Chinese classroom had been moved onto a device that also carries family calls, prepaid data, and a small keyboard for characters.</w:t>
      </w:r>
    </w:p>
    <w:p>
      <w:pPr>
        <w:pStyle w:val="BodyText"/>
      </w:pPr>
      <w:r>
        <w:rPr>
          <w:bCs/>
          <w:b/>
        </w:rPr>
        <w:t xml:space="preserve">Table 2</w:t>
      </w:r>
    </w:p>
    <w:p>
      <w:pPr>
        <w:pStyle w:val="BodyText"/>
      </w:pPr>
      <w:r>
        <w:rPr>
          <w:iCs/>
          <w:i/>
        </w:rPr>
        <w:t xml:space="preserve">Conditions of study and selected outcomes (N = 38)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right"/>
            </w:pPr>
            <w:r>
              <w:t xml:space="preserve">n</w:t>
            </w:r>
          </w:p>
        </w:tc>
        <w:tc>
          <w:tcPr/>
          <w:p>
            <w:pPr>
              <w:pStyle w:val="Compact"/>
              <w:jc w:val="right"/>
            </w:pPr>
            <w:r>
              <w:t xml:space="preserve">%</w:t>
            </w:r>
          </w:p>
        </w:tc>
      </w:tr>
      <w:tr>
        <w:tc>
          <w:tcPr/>
          <w:p>
            <w:pPr>
              <w:pStyle w:val="Compact"/>
              <w:jc w:val="left"/>
            </w:pPr>
            <w:r>
              <w:t xml:space="preserve">Unstable network</w:t>
            </w:r>
          </w:p>
        </w:tc>
        <w:tc>
          <w:tcPr/>
          <w:p>
            <w:pPr>
              <w:pStyle w:val="Compact"/>
              <w:jc w:val="right"/>
            </w:pPr>
            <w:r>
              <w:t xml:space="preserve">29</w:t>
            </w:r>
          </w:p>
        </w:tc>
        <w:tc>
          <w:tcPr/>
          <w:p>
            <w:pPr>
              <w:pStyle w:val="Compact"/>
              <w:jc w:val="right"/>
            </w:pPr>
            <w:r>
              <w:t xml:space="preserve">76.3</w:t>
            </w:r>
          </w:p>
        </w:tc>
      </w:tr>
      <w:tr>
        <w:tc>
          <w:tcPr/>
          <w:p>
            <w:pPr>
              <w:pStyle w:val="Compact"/>
              <w:jc w:val="left"/>
            </w:pPr>
            <w:r>
              <w:t xml:space="preserve">No electricity</w:t>
            </w:r>
          </w:p>
        </w:tc>
        <w:tc>
          <w:tcPr/>
          <w:p>
            <w:pPr>
              <w:pStyle w:val="Compact"/>
              <w:jc w:val="right"/>
            </w:pPr>
            <w:r>
              <w:t xml:space="preserve">16</w:t>
            </w:r>
          </w:p>
        </w:tc>
        <w:tc>
          <w:tcPr/>
          <w:p>
            <w:pPr>
              <w:pStyle w:val="Compact"/>
              <w:jc w:val="right"/>
            </w:pPr>
            <w:r>
              <w:t xml:space="preserve">42.1</w:t>
            </w:r>
          </w:p>
        </w:tc>
      </w:tr>
      <w:tr>
        <w:tc>
          <w:tcPr/>
          <w:p>
            <w:pPr>
              <w:pStyle w:val="Compact"/>
              <w:jc w:val="left"/>
            </w:pPr>
            <w:r>
              <w:t xml:space="preserve">No signal</w:t>
            </w:r>
          </w:p>
        </w:tc>
        <w:tc>
          <w:tcPr/>
          <w:p>
            <w:pPr>
              <w:pStyle w:val="Compact"/>
              <w:jc w:val="right"/>
            </w:pPr>
            <w:r>
              <w:t xml:space="preserve">12</w:t>
            </w:r>
          </w:p>
        </w:tc>
        <w:tc>
          <w:tcPr/>
          <w:p>
            <w:pPr>
              <w:pStyle w:val="Compact"/>
              <w:jc w:val="right"/>
            </w:pPr>
            <w:r>
              <w:t xml:space="preserve">31.6</w:t>
            </w:r>
          </w:p>
        </w:tc>
      </w:tr>
      <w:tr>
        <w:tc>
          <w:tcPr/>
          <w:p>
            <w:pPr>
              <w:pStyle w:val="Compact"/>
              <w:jc w:val="left"/>
            </w:pPr>
            <w:r>
              <w:t xml:space="preserve">Internet speed poor or very poor</w:t>
            </w:r>
          </w:p>
        </w:tc>
        <w:tc>
          <w:tcPr/>
          <w:p>
            <w:pPr>
              <w:pStyle w:val="Compact"/>
              <w:jc w:val="right"/>
            </w:pPr>
            <w:r>
              <w:t xml:space="preserve">10</w:t>
            </w:r>
          </w:p>
        </w:tc>
        <w:tc>
          <w:tcPr/>
          <w:p>
            <w:pPr>
              <w:pStyle w:val="Compact"/>
              <w:jc w:val="right"/>
            </w:pPr>
            <w:r>
              <w:t xml:space="preserve">26.3</w:t>
            </w:r>
          </w:p>
        </w:tc>
      </w:tr>
      <w:tr>
        <w:tc>
          <w:tcPr/>
          <w:p>
            <w:pPr>
              <w:pStyle w:val="Compact"/>
              <w:jc w:val="left"/>
            </w:pPr>
            <w:r>
              <w:t xml:space="preserve">Home not quiet</w:t>
            </w:r>
          </w:p>
        </w:tc>
        <w:tc>
          <w:tcPr/>
          <w:p>
            <w:pPr>
              <w:pStyle w:val="Compact"/>
              <w:jc w:val="right"/>
            </w:pPr>
            <w:r>
              <w:t xml:space="preserve">27</w:t>
            </w:r>
          </w:p>
        </w:tc>
        <w:tc>
          <w:tcPr/>
          <w:p>
            <w:pPr>
              <w:pStyle w:val="Compact"/>
              <w:jc w:val="right"/>
            </w:pPr>
            <w:r>
              <w:t xml:space="preserve">71.1</w:t>
            </w:r>
          </w:p>
        </w:tc>
      </w:tr>
      <w:tr>
        <w:tc>
          <w:tcPr/>
          <w:p>
            <w:pPr>
              <w:pStyle w:val="Compact"/>
              <w:jc w:val="left"/>
            </w:pPr>
            <w:r>
              <w:t xml:space="preserve">Home affects study very much</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Very high psychological stress</w:t>
            </w:r>
          </w:p>
        </w:tc>
        <w:tc>
          <w:tcPr/>
          <w:p>
            <w:pPr>
              <w:pStyle w:val="Compact"/>
              <w:jc w:val="right"/>
            </w:pPr>
            <w:r>
              <w:t xml:space="preserve">14</w:t>
            </w:r>
          </w:p>
        </w:tc>
        <w:tc>
          <w:tcPr/>
          <w:p>
            <w:pPr>
              <w:pStyle w:val="Compact"/>
              <w:jc w:val="right"/>
            </w:pPr>
            <w:r>
              <w:t xml:space="preserve">36.8</w:t>
            </w:r>
          </w:p>
        </w:tc>
      </w:tr>
      <w:tr>
        <w:tc>
          <w:tcPr/>
          <w:p>
            <w:pPr>
              <w:pStyle w:val="Compact"/>
              <w:jc w:val="left"/>
            </w:pPr>
            <w:r>
              <w:t xml:space="preserve">Online cannot replace face-to-face</w:t>
            </w:r>
          </w:p>
        </w:tc>
        <w:tc>
          <w:tcPr/>
          <w:p>
            <w:pPr>
              <w:pStyle w:val="Compact"/>
              <w:jc w:val="right"/>
            </w:pPr>
            <w:r>
              <w:t xml:space="preserve">19</w:t>
            </w:r>
          </w:p>
        </w:tc>
        <w:tc>
          <w:tcPr/>
          <w:p>
            <w:pPr>
              <w:pStyle w:val="Compact"/>
              <w:jc w:val="right"/>
            </w:pPr>
            <w:r>
              <w:t xml:space="preserve">50.0</w:t>
            </w:r>
          </w:p>
        </w:tc>
      </w:tr>
      <w:tr>
        <w:tc>
          <w:tcPr/>
          <w:p>
            <w:pPr>
              <w:pStyle w:val="Compact"/>
              <w:jc w:val="left"/>
            </w:pPr>
            <w:r>
              <w:t xml:space="preserve">Learned little or nothing online</w:t>
            </w:r>
          </w:p>
        </w:tc>
        <w:tc>
          <w:tcPr/>
          <w:p>
            <w:pPr>
              <w:pStyle w:val="Compact"/>
              <w:jc w:val="right"/>
            </w:pPr>
            <w:r>
              <w:t xml:space="preserve">11</w:t>
            </w:r>
          </w:p>
        </w:tc>
        <w:tc>
          <w:tcPr/>
          <w:p>
            <w:pPr>
              <w:pStyle w:val="Compact"/>
              <w:jc w:val="right"/>
            </w:pPr>
            <w:r>
              <w:t xml:space="preserve">28.9</w:t>
            </w:r>
          </w:p>
        </w:tc>
      </w:tr>
    </w:tbl>
    <w:p>
      <w:pPr>
        <w:pStyle w:val="BodyText"/>
      </w:pPr>
      <w:r>
        <w:t xml:space="preserve">The strongest association in the sample is between the home and stress. Among those who said the home affected study very much, 11 of 14 also reported very high psychological stress; among the others, 3 of 24 did (OR = 25.67, 95% CI [4.42, 149.00],</w:t>
      </w:r>
      <w:r>
        <w:t xml:space="preserve"> </w:t>
      </w:r>
      <w:r>
        <w:rPr>
          <w:iCs/>
          <w:i/>
        </w:rPr>
        <w:t xml:space="preserve">p</w:t>
      </w:r>
      <w:r>
        <w:t xml:space="preserve"> </w:t>
      </w:r>
      <w:r>
        <w:t xml:space="preserve">&lt; .001, φ = .66). Spearman’s ρ between that home item and the stress ordinal (1 = very high) was −.66 (</w:t>
      </w:r>
      <w:r>
        <w:rPr>
          <w:iCs/>
          <w:i/>
        </w:rPr>
        <w:t xml:space="preserve">p</w:t>
      </w:r>
      <w:r>
        <w:t xml:space="preserve"> </w:t>
      </w:r>
      <w:r>
        <w:t xml:space="preserve">&lt; .001). The odds-ratio interval is wide, as expected at this sample size; the direction is consistent. The figure that discriminates is the 36.8% who reported very high stress.</w:t>
      </w:r>
    </w:p>
    <w:bookmarkEnd w:id="35"/>
    <w:bookmarkStart w:id="36" w:name="Xcaed1ea785147ce2b7b7bc763c8cc14ebc51e4b"/>
    <w:p>
      <w:pPr>
        <w:pStyle w:val="Heading3"/>
      </w:pPr>
      <w:r>
        <w:t xml:space="preserve">5.3 Platforms that opened and platforms that did not</w:t>
      </w:r>
    </w:p>
    <w:p>
      <w:pPr>
        <w:pStyle w:val="FirstParagraph"/>
      </w:pPr>
      <w:r>
        <w:t xml:space="preserve">Students did not so much lack a platform as they lacked the platform the university was using (Table 3). The tools reported as used for class were Tencent Meeting (71.1%), Zoom (47.4%), and WeChat (31.6%). The tools marked unusable</w:t>
      </w:r>
      <w:r>
        <w:t xml:space="preserve"> </w:t>
      </w:r>
      <w:r>
        <w:t xml:space="preserve">“</w:t>
      </w:r>
      <w:r>
        <w:t xml:space="preserve">in my country</w:t>
      </w:r>
      <w:r>
        <w:t xml:space="preserve">”</w:t>
      </w:r>
      <w:r>
        <w:t xml:space="preserve"> </w:t>
      </w:r>
      <w:r>
        <w:t xml:space="preserve">were QQ (50.0%), Chaoxing (42.1%), DingTalk (28.9%), and Chinese MOOC (28.9%). The tools marked available were Zoom (71.1%), WhatsApp (68.4%), Tencent Meeting (57.9%), and WeChat (39.5%). WhatsApp appears only as available; the questionnaire, as retained here, did not record whether it was used for class. Tencent Meeting was the most used class tool, yet fewer respondents marked it available in their country, a discrepancy that may reflect use while in China or through a virtual private network.</w:t>
      </w:r>
    </w:p>
    <w:p>
      <w:pPr>
        <w:pStyle w:val="BodyText"/>
      </w:pPr>
      <w:r>
        <w:rPr>
          <w:bCs/>
          <w:b/>
        </w:rPr>
        <w:t xml:space="preserve">Table 3</w:t>
      </w:r>
    </w:p>
    <w:p>
      <w:pPr>
        <w:pStyle w:val="BodyText"/>
      </w:pPr>
      <w:r>
        <w:rPr>
          <w:iCs/>
          <w:i/>
        </w:rPr>
        <w:t xml:space="preserve">Platforms used, blocked, and available (multiple response, % of 38)</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Platform</w:t>
            </w:r>
          </w:p>
        </w:tc>
        <w:tc>
          <w:tcPr/>
          <w:p>
            <w:pPr>
              <w:pStyle w:val="Compact"/>
              <w:jc w:val="right"/>
            </w:pPr>
            <w:r>
              <w:t xml:space="preserve">Used for class</w:t>
            </w:r>
          </w:p>
        </w:tc>
        <w:tc>
          <w:tcPr/>
          <w:p>
            <w:pPr>
              <w:pStyle w:val="Compact"/>
              <w:jc w:val="right"/>
            </w:pPr>
            <w:r>
              <w:t xml:space="preserve">Cannot use in my country</w:t>
            </w:r>
          </w:p>
        </w:tc>
        <w:tc>
          <w:tcPr/>
          <w:p>
            <w:pPr>
              <w:pStyle w:val="Compact"/>
              <w:jc w:val="right"/>
            </w:pPr>
            <w:r>
              <w:t xml:space="preserve">Can use in my country</w:t>
            </w:r>
          </w:p>
        </w:tc>
      </w:tr>
      <w:tr>
        <w:tc>
          <w:tcPr/>
          <w:p>
            <w:pPr>
              <w:pStyle w:val="Compact"/>
              <w:jc w:val="left"/>
            </w:pPr>
            <w:r>
              <w:t xml:space="preserve">Tencent Meeting</w:t>
            </w:r>
          </w:p>
        </w:tc>
        <w:tc>
          <w:tcPr/>
          <w:p>
            <w:pPr>
              <w:pStyle w:val="Compact"/>
              <w:jc w:val="right"/>
            </w:pPr>
            <w:r>
              <w:t xml:space="preserve">71.1</w:t>
            </w:r>
          </w:p>
        </w:tc>
        <w:tc>
          <w:tcPr/>
          <w:p>
            <w:pPr>
              <w:pStyle w:val="Compact"/>
              <w:jc w:val="right"/>
            </w:pPr>
            <w:r>
              <w:t xml:space="preserve">n.a.</w:t>
            </w:r>
          </w:p>
        </w:tc>
        <w:tc>
          <w:tcPr/>
          <w:p>
            <w:pPr>
              <w:pStyle w:val="Compact"/>
              <w:jc w:val="right"/>
            </w:pPr>
            <w:r>
              <w:t xml:space="preserve">57.9</w:t>
            </w:r>
          </w:p>
        </w:tc>
      </w:tr>
      <w:tr>
        <w:tc>
          <w:tcPr/>
          <w:p>
            <w:pPr>
              <w:pStyle w:val="Compact"/>
              <w:jc w:val="left"/>
            </w:pPr>
            <w:r>
              <w:t xml:space="preserve">Zoom</w:t>
            </w:r>
          </w:p>
        </w:tc>
        <w:tc>
          <w:tcPr/>
          <w:p>
            <w:pPr>
              <w:pStyle w:val="Compact"/>
              <w:jc w:val="right"/>
            </w:pPr>
            <w:r>
              <w:t xml:space="preserve">47.4</w:t>
            </w:r>
          </w:p>
        </w:tc>
        <w:tc>
          <w:tcPr/>
          <w:p>
            <w:pPr>
              <w:pStyle w:val="Compact"/>
              <w:jc w:val="right"/>
            </w:pPr>
            <w:r>
              <w:t xml:space="preserve">n.a.</w:t>
            </w:r>
          </w:p>
        </w:tc>
        <w:tc>
          <w:tcPr/>
          <w:p>
            <w:pPr>
              <w:pStyle w:val="Compact"/>
              <w:jc w:val="right"/>
            </w:pPr>
            <w:r>
              <w:t xml:space="preserve">71.1</w:t>
            </w:r>
          </w:p>
        </w:tc>
      </w:tr>
      <w:tr>
        <w:tc>
          <w:tcPr/>
          <w:p>
            <w:pPr>
              <w:pStyle w:val="Compact"/>
              <w:jc w:val="left"/>
            </w:pPr>
            <w:r>
              <w:t xml:space="preserve">WeChat</w:t>
            </w:r>
          </w:p>
        </w:tc>
        <w:tc>
          <w:tcPr/>
          <w:p>
            <w:pPr>
              <w:pStyle w:val="Compact"/>
              <w:jc w:val="right"/>
            </w:pPr>
            <w:r>
              <w:t xml:space="preserve">31.6</w:t>
            </w:r>
          </w:p>
        </w:tc>
        <w:tc>
          <w:tcPr/>
          <w:p>
            <w:pPr>
              <w:pStyle w:val="Compact"/>
              <w:jc w:val="right"/>
            </w:pPr>
            <w:r>
              <w:t xml:space="preserve">n.a.</w:t>
            </w:r>
          </w:p>
        </w:tc>
        <w:tc>
          <w:tcPr/>
          <w:p>
            <w:pPr>
              <w:pStyle w:val="Compact"/>
              <w:jc w:val="right"/>
            </w:pPr>
            <w:r>
              <w:t xml:space="preserve">39.5</w:t>
            </w:r>
          </w:p>
        </w:tc>
      </w:tr>
      <w:tr>
        <w:tc>
          <w:tcPr/>
          <w:p>
            <w:pPr>
              <w:pStyle w:val="Compact"/>
              <w:jc w:val="left"/>
            </w:pPr>
            <w:r>
              <w:t xml:space="preserve">WhatsApp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68.4</w:t>
            </w:r>
          </w:p>
        </w:tc>
      </w:tr>
      <w:tr>
        <w:tc>
          <w:tcPr/>
          <w:p>
            <w:pPr>
              <w:pStyle w:val="Compact"/>
              <w:jc w:val="left"/>
            </w:pPr>
            <w:r>
              <w:t xml:space="preserve">QQ</w:t>
            </w:r>
          </w:p>
        </w:tc>
        <w:tc>
          <w:tcPr/>
          <w:p>
            <w:pPr>
              <w:pStyle w:val="Compact"/>
              <w:jc w:val="right"/>
            </w:pPr>
            <w:r>
              <w:t xml:space="preserve">n.a.</w:t>
            </w:r>
          </w:p>
        </w:tc>
        <w:tc>
          <w:tcPr/>
          <w:p>
            <w:pPr>
              <w:pStyle w:val="Compact"/>
              <w:jc w:val="right"/>
            </w:pPr>
            <w:r>
              <w:t xml:space="preserve">50.0</w:t>
            </w:r>
          </w:p>
        </w:tc>
        <w:tc>
          <w:tcPr/>
          <w:p>
            <w:pPr>
              <w:pStyle w:val="Compact"/>
              <w:jc w:val="right"/>
            </w:pPr>
            <w:r>
              <w:t xml:space="preserve">n.a.</w:t>
            </w:r>
          </w:p>
        </w:tc>
      </w:tr>
      <w:tr>
        <w:tc>
          <w:tcPr/>
          <w:p>
            <w:pPr>
              <w:pStyle w:val="Compact"/>
              <w:jc w:val="left"/>
            </w:pPr>
            <w:r>
              <w:t xml:space="preserve">Chaoxing</w:t>
            </w:r>
          </w:p>
        </w:tc>
        <w:tc>
          <w:tcPr/>
          <w:p>
            <w:pPr>
              <w:pStyle w:val="Compact"/>
              <w:jc w:val="right"/>
            </w:pPr>
            <w:r>
              <w:t xml:space="preserve">n.a.</w:t>
            </w:r>
          </w:p>
        </w:tc>
        <w:tc>
          <w:tcPr/>
          <w:p>
            <w:pPr>
              <w:pStyle w:val="Compact"/>
              <w:jc w:val="right"/>
            </w:pPr>
            <w:r>
              <w:t xml:space="preserve">42.1</w:t>
            </w:r>
          </w:p>
        </w:tc>
        <w:tc>
          <w:tcPr/>
          <w:p>
            <w:pPr>
              <w:pStyle w:val="Compact"/>
              <w:jc w:val="right"/>
            </w:pPr>
            <w:r>
              <w:t xml:space="preserve">n.a.</w:t>
            </w:r>
          </w:p>
        </w:tc>
      </w:tr>
      <w:tr>
        <w:tc>
          <w:tcPr/>
          <w:p>
            <w:pPr>
              <w:pStyle w:val="Compact"/>
              <w:jc w:val="left"/>
            </w:pPr>
            <w:r>
              <w:t xml:space="preserve">DingTalk</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r>
        <w:tc>
          <w:tcPr/>
          <w:p>
            <w:pPr>
              <w:pStyle w:val="Compact"/>
              <w:jc w:val="left"/>
            </w:pPr>
            <w:r>
              <w:t xml:space="preserve">Chinese MOOC</w:t>
            </w:r>
          </w:p>
        </w:tc>
        <w:tc>
          <w:tcPr/>
          <w:p>
            <w:pPr>
              <w:pStyle w:val="Compact"/>
              <w:jc w:val="right"/>
            </w:pPr>
            <w:r>
              <w:t xml:space="preserve">n.a.</w:t>
            </w:r>
          </w:p>
        </w:tc>
        <w:tc>
          <w:tcPr/>
          <w:p>
            <w:pPr>
              <w:pStyle w:val="Compact"/>
              <w:jc w:val="right"/>
            </w:pPr>
            <w:r>
              <w:t xml:space="preserve">28.9</w:t>
            </w:r>
          </w:p>
        </w:tc>
        <w:tc>
          <w:tcPr/>
          <w:p>
            <w:pPr>
              <w:pStyle w:val="Compact"/>
              <w:jc w:val="right"/>
            </w:pPr>
            <w:r>
              <w:t xml:space="preserve">n.a.</w:t>
            </w:r>
          </w:p>
        </w:tc>
      </w:tr>
    </w:tbl>
    <w:p>
      <w:pPr>
        <w:pStyle w:val="BodyText"/>
      </w:pPr>
      <w:r>
        <w:rPr>
          <w:iCs/>
          <w:i/>
        </w:rPr>
        <w:t xml:space="preserve">Note.</w:t>
      </w:r>
      <w:r>
        <w:t xml:space="preserve"> </w:t>
      </w:r>
      <w:r>
        <w:t xml:space="preserve">n.a. = the item was not asked in that column. Campus-side Chinese platforms are those students mark as unusable. Consumer tools often used in Pakistan (Zoom, WhatsApp) are those they mark as available.</w:t>
      </w:r>
      <w:r>
        <w:t xml:space="preserve"> </w:t>
      </w:r>
      <w:r>
        <w:t xml:space="preserve">“</w:t>
      </w:r>
      <w:r>
        <w:t xml:space="preserve">My country</w:t>
      </w:r>
      <w:r>
        <w:t xml:space="preserve">”</w:t>
      </w:r>
      <w:r>
        <w:t xml:space="preserve"> </w:t>
      </w:r>
      <w:r>
        <w:t xml:space="preserve">is the student’s wording; nine responses were labelled mainland China.</w:t>
      </w:r>
    </w:p>
    <w:p>
      <w:pPr>
        <w:pStyle w:val="BodyText"/>
      </w:pPr>
      <w:r>
        <w:t xml:space="preserve">When emergency remote teaching copies the campus system off campus, the official classroom may sit on an application the student cannot enter.</w:t>
      </w:r>
    </w:p>
    <w:bookmarkEnd w:id="36"/>
    <w:bookmarkStart w:id="37" w:name="interaction-learning-appraisal-and-speed"/>
    <w:p>
      <w:pPr>
        <w:pStyle w:val="Heading3"/>
      </w:pPr>
      <w:r>
        <w:t xml:space="preserve">5.4 Interaction, learning appraisal, and speed</w:t>
      </w:r>
    </w:p>
    <w:p>
      <w:pPr>
        <w:pStyle w:val="FirstParagraph"/>
      </w:pPr>
      <w:r>
        <w:t xml:space="preserve">Very high stress was reported by 14 of 38 (36.8%). Active interaction with the teacher</w:t>
      </w:r>
      <w:r>
        <w:t xml:space="preserve"> </w:t>
      </w:r>
      <w:r>
        <w:t xml:space="preserve">“</w:t>
      </w:r>
      <w:r>
        <w:t xml:space="preserve">very much</w:t>
      </w:r>
      <w:r>
        <w:t xml:space="preserve">”</w:t>
      </w:r>
      <w:r>
        <w:t xml:space="preserve"> </w:t>
      </w:r>
      <w:r>
        <w:t xml:space="preserve">was reported by only 6 of 38 (15.8%); 11 of 38 (28.9%) said only a little or not at all. Classroom talk, when it happened, was mainly dialogue (76.3%) and question and answer (57.9%). Role-play was rare (7.9%). Those oral tasks most need a stable live channel.</w:t>
      </w:r>
    </w:p>
    <w:p>
      <w:pPr>
        <w:pStyle w:val="BodyText"/>
      </w:pPr>
      <w:r>
        <w:t xml:space="preserve">On the learning-appraisal items (α = .84), 18.4% said they could learn</w:t>
      </w:r>
      <w:r>
        <w:t xml:space="preserve"> </w:t>
      </w:r>
      <w:r>
        <w:t xml:space="preserve">“</w:t>
      </w:r>
      <w:r>
        <w:t xml:space="preserve">a lot</w:t>
      </w:r>
      <w:r>
        <w:t xml:space="preserve">”</w:t>
      </w:r>
      <w:r>
        <w:t xml:space="preserve"> </w:t>
      </w:r>
      <w:r>
        <w:t xml:space="preserve">online; 28.9% said little or nothing. 15.8% said online study could improve Chinese</w:t>
      </w:r>
      <w:r>
        <w:t xml:space="preserve"> </w:t>
      </w:r>
      <w:r>
        <w:t xml:space="preserve">“</w:t>
      </w:r>
      <w:r>
        <w:t xml:space="preserve">very much</w:t>
      </w:r>
      <w:r>
        <w:t xml:space="preserve">”</w:t>
      </w:r>
      <w:r>
        <w:t xml:space="preserve">; 10.5% said not at all. Five of 37 valid answers (13.5%) liked online classes very much.</w:t>
      </w:r>
    </w:p>
    <w:p>
      <w:pPr>
        <w:pStyle w:val="BodyText"/>
      </w:pPr>
      <w:r>
        <w:t xml:space="preserve">Worse internet speed tracked worse appraisal and thinner interaction (Table 4): ρ = .46 with learned less (</w:t>
      </w:r>
      <w:r>
        <w:rPr>
          <w:iCs/>
          <w:i/>
        </w:rPr>
        <w:t xml:space="preserve">p</w:t>
      </w:r>
      <w:r>
        <w:t xml:space="preserve"> </w:t>
      </w:r>
      <w:r>
        <w:t xml:space="preserve">= .004), .64 with less improvement (</w:t>
      </w:r>
      <w:r>
        <w:rPr>
          <w:iCs/>
          <w:i/>
        </w:rPr>
        <w:t xml:space="preserve">p</w:t>
      </w:r>
      <w:r>
        <w:t xml:space="preserve"> </w:t>
      </w:r>
      <w:r>
        <w:t xml:space="preserve">&lt; .001), .65 with the three-item appraisal (</w:t>
      </w:r>
      <w:r>
        <w:rPr>
          <w:iCs/>
          <w:i/>
        </w:rPr>
        <w:t xml:space="preserve">p</w:t>
      </w:r>
      <w:r>
        <w:t xml:space="preserve"> </w:t>
      </w:r>
      <w:r>
        <w:t xml:space="preserve">&lt; .001), .55 with less teacher interaction, and .60 with lower satisfaction with class time. A simple count of infrastructure problems (unstable network, no power, no signal) did not track appraisal (ρ = .02,</w:t>
      </w:r>
      <w:r>
        <w:t xml:space="preserve"> </w:t>
      </w:r>
      <w:r>
        <w:rPr>
          <w:iCs/>
          <w:i/>
        </w:rPr>
        <w:t xml:space="preserve">p</w:t>
      </w:r>
      <w:r>
        <w:t xml:space="preserve"> </w:t>
      </w:r>
      <w:r>
        <w:t xml:space="preserve">= .91). In this sample, speed of use matters; the number of problems ticked does not.</w:t>
      </w:r>
    </w:p>
    <w:p>
      <w:pPr>
        <w:pStyle w:val="BodyText"/>
      </w:pPr>
      <w:r>
        <w:t xml:space="preserve">Preferred live length was shorter than a typical campus Chinese class: 50% wanted 45 minutes and 28.9% wanted 30 minutes. One open comment refused the mode altogether: even one minute online was</w:t>
      </w:r>
      <w:r>
        <w:t xml:space="preserve"> </w:t>
      </w:r>
      <w:r>
        <w:t xml:space="preserve">“</w:t>
      </w:r>
      <w:r>
        <w:t xml:space="preserve">not suitable,</w:t>
      </w:r>
      <w:r>
        <w:t xml:space="preserve">”</w:t>
      </w:r>
      <w:r>
        <w:t xml:space="preserve"> </w:t>
      </w:r>
      <w:r>
        <w:t xml:space="preserve">and China should bring students back.</w:t>
      </w:r>
    </w:p>
    <w:p>
      <w:pPr>
        <w:pStyle w:val="BodyText"/>
      </w:pPr>
      <w:r>
        <w:rPr>
          <w:bCs/>
          <w:b/>
        </w:rPr>
        <w:t xml:space="preserve">Table 4</w:t>
      </w:r>
    </w:p>
    <w:p>
      <w:pPr>
        <w:pStyle w:val="BodyText"/>
      </w:pPr>
      <w:r>
        <w:rPr>
          <w:iCs/>
          <w:i/>
        </w:rPr>
        <w:t xml:space="preserve">Associations (Fisher’s exact and Spearman, N = 38)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Hypothesis</w:t>
            </w:r>
          </w:p>
        </w:tc>
        <w:tc>
          <w:tcPr/>
          <w:p>
            <w:pPr>
              <w:pStyle w:val="Compact"/>
              <w:jc w:val="left"/>
            </w:pPr>
            <w:r>
              <w:t xml:space="preserve">Statistic</w:t>
            </w:r>
          </w:p>
        </w:tc>
      </w:tr>
      <w:tr>
        <w:tc>
          <w:tcPr/>
          <w:p>
            <w:pPr>
              <w:pStyle w:val="Compact"/>
              <w:jc w:val="left"/>
            </w:pPr>
            <w:r>
              <w:t xml:space="preserve">Home affects study very much × very high stress</w:t>
            </w:r>
          </w:p>
        </w:tc>
        <w:tc>
          <w:tcPr/>
          <w:p>
            <w:pPr>
              <w:pStyle w:val="Compact"/>
              <w:jc w:val="left"/>
            </w:pPr>
            <w:r>
              <w:t xml:space="preserve">OR = 25.67, 95% CI [4.42, 149.00],</w:t>
            </w:r>
            <w:r>
              <w:t xml:space="preserve"> </w:t>
            </w:r>
            <w:r>
              <w:rPr>
                <w:iCs/>
                <w:i/>
              </w:rPr>
              <w:t xml:space="preserve">p</w:t>
            </w:r>
            <w:r>
              <w:t xml:space="preserve"> </w:t>
            </w:r>
            <w:r>
              <w:t xml:space="preserve">&lt; .001, φ = .66</w:t>
            </w:r>
          </w:p>
        </w:tc>
      </w:tr>
      <w:tr>
        <w:tc>
          <w:tcPr/>
          <w:p>
            <w:pPr>
              <w:pStyle w:val="Compact"/>
              <w:jc w:val="left"/>
            </w:pPr>
            <w:r>
              <w:t xml:space="preserve">Female × online cannot replace campus</w:t>
            </w:r>
          </w:p>
        </w:tc>
        <w:tc>
          <w:tcPr/>
          <w:p>
            <w:pPr>
              <w:pStyle w:val="Compact"/>
              <w:jc w:val="left"/>
            </w:pPr>
            <w:r>
              <w:t xml:space="preserve">OR = 7.65, 95% CI [1.37, 42.71],</w:t>
            </w:r>
            <w:r>
              <w:t xml:space="preserve"> </w:t>
            </w:r>
            <w:r>
              <w:rPr>
                <w:iCs/>
                <w:i/>
              </w:rPr>
              <w:t xml:space="preserve">p</w:t>
            </w:r>
            <w:r>
              <w:t xml:space="preserve"> </w:t>
            </w:r>
            <w:r>
              <w:t xml:space="preserve">= .029, φ = .41</w:t>
            </w:r>
          </w:p>
        </w:tc>
      </w:tr>
      <w:tr>
        <w:tc>
          <w:tcPr/>
          <w:p>
            <w:pPr>
              <w:pStyle w:val="Compact"/>
              <w:jc w:val="left"/>
            </w:pPr>
            <w:r>
              <w:t xml:space="preserve">Learned little/nothing × cannot replace</w:t>
            </w:r>
          </w:p>
        </w:tc>
        <w:tc>
          <w:tcPr/>
          <w:p>
            <w:pPr>
              <w:pStyle w:val="Compact"/>
              <w:jc w:val="left"/>
            </w:pPr>
            <w:r>
              <w:t xml:space="preserve">OR = 7.65, 95% CI [1.37, 42.71],</w:t>
            </w:r>
            <w:r>
              <w:t xml:space="preserve"> </w:t>
            </w:r>
            <w:r>
              <w:rPr>
                <w:iCs/>
                <w:i/>
              </w:rPr>
              <w:t xml:space="preserve">p</w:t>
            </w:r>
            <w:r>
              <w:t xml:space="preserve"> </w:t>
            </w:r>
            <w:r>
              <w:t xml:space="preserve">= .029, φ = .41</w:t>
            </w:r>
          </w:p>
        </w:tc>
      </w:tr>
      <w:tr>
        <w:tc>
          <w:tcPr/>
          <w:p>
            <w:pPr>
              <w:pStyle w:val="Compact"/>
              <w:jc w:val="left"/>
            </w:pPr>
            <w:r>
              <w:t xml:space="preserve">Poor internet × cannot replace</w:t>
            </w:r>
          </w:p>
        </w:tc>
        <w:tc>
          <w:tcPr/>
          <w:p>
            <w:pPr>
              <w:pStyle w:val="Compact"/>
              <w:jc w:val="left"/>
            </w:pPr>
            <w:r>
              <w:t xml:space="preserve">OR = 6.18, 95% CI [1.10, 34.70],</w:t>
            </w:r>
            <w:r>
              <w:t xml:space="preserve"> </w:t>
            </w:r>
            <w:r>
              <w:rPr>
                <w:iCs/>
                <w:i/>
              </w:rPr>
              <w:t xml:space="preserve">p</w:t>
            </w:r>
            <w:r>
              <w:t xml:space="preserve"> </w:t>
            </w:r>
            <w:r>
              <w:t xml:space="preserve">= .062, φ = .36</w:t>
            </w:r>
          </w:p>
        </w:tc>
      </w:tr>
      <w:tr>
        <w:tc>
          <w:tcPr/>
          <w:p>
            <w:pPr>
              <w:pStyle w:val="Compact"/>
              <w:jc w:val="left"/>
            </w:pPr>
            <w:r>
              <w:t xml:space="preserve">Speed (worse) × learning appraisal (worse)</w:t>
            </w:r>
          </w:p>
        </w:tc>
        <w:tc>
          <w:tcPr/>
          <w:p>
            <w:pPr>
              <w:pStyle w:val="Compact"/>
              <w:jc w:val="left"/>
            </w:pPr>
            <w:r>
              <w:t xml:space="preserve">ρ = .65,</w:t>
            </w:r>
            <w:r>
              <w:t xml:space="preserve"> </w:t>
            </w:r>
            <w:r>
              <w:rPr>
                <w:iCs/>
                <w:i/>
              </w:rPr>
              <w:t xml:space="preserve">p</w:t>
            </w:r>
            <w:r>
              <w:t xml:space="preserve"> </w:t>
            </w:r>
            <w:r>
              <w:t xml:space="preserve">&lt; .001</w:t>
            </w:r>
          </w:p>
        </w:tc>
      </w:tr>
      <w:tr>
        <w:tc>
          <w:tcPr/>
          <w:p>
            <w:pPr>
              <w:pStyle w:val="Compact"/>
              <w:jc w:val="left"/>
            </w:pPr>
            <w:r>
              <w:t xml:space="preserve">Speed × teacher interaction (less)</w:t>
            </w:r>
          </w:p>
        </w:tc>
        <w:tc>
          <w:tcPr/>
          <w:p>
            <w:pPr>
              <w:pStyle w:val="Compact"/>
              <w:jc w:val="left"/>
            </w:pPr>
            <w:r>
              <w:t xml:space="preserve">ρ = .55,</w:t>
            </w:r>
            <w:r>
              <w:t xml:space="preserve"> </w:t>
            </w:r>
            <w:r>
              <w:rPr>
                <w:iCs/>
                <w:i/>
              </w:rPr>
              <w:t xml:space="preserve">p</w:t>
            </w:r>
            <w:r>
              <w:t xml:space="preserve"> </w:t>
            </w:r>
            <w:r>
              <w:t xml:space="preserve">&lt; .001</w:t>
            </w:r>
          </w:p>
        </w:tc>
      </w:tr>
      <w:tr>
        <w:tc>
          <w:tcPr/>
          <w:p>
            <w:pPr>
              <w:pStyle w:val="Compact"/>
              <w:jc w:val="left"/>
            </w:pPr>
            <w:r>
              <w:t xml:space="preserve">Infrastructure-problem count × learning appraisal</w:t>
            </w:r>
          </w:p>
        </w:tc>
        <w:tc>
          <w:tcPr/>
          <w:p>
            <w:pPr>
              <w:pStyle w:val="Compact"/>
              <w:jc w:val="left"/>
            </w:pPr>
            <w:r>
              <w:t xml:space="preserve">ρ = .02,</w:t>
            </w:r>
            <w:r>
              <w:t xml:space="preserve"> </w:t>
            </w:r>
            <w:r>
              <w:rPr>
                <w:iCs/>
                <w:i/>
              </w:rPr>
              <w:t xml:space="preserve">p</w:t>
            </w:r>
            <w:r>
              <w:t xml:space="preserve"> </w:t>
            </w:r>
            <w:r>
              <w:t xml:space="preserve">= .91</w:t>
            </w:r>
          </w:p>
        </w:tc>
      </w:tr>
    </w:tbl>
    <w:p>
      <w:pPr>
        <w:pStyle w:val="BodyText"/>
      </w:pPr>
      <w:r>
        <w:rPr>
          <w:iCs/>
          <w:i/>
        </w:rPr>
        <w:t xml:space="preserve">Note.</w:t>
      </w:r>
      <w:r>
        <w:t xml:space="preserve"> </w:t>
      </w:r>
      <w:r>
        <w:t xml:space="preserve">Higher speed and learning-appraisal scores are more negative. Odds-ratio intervals are wide and should be read as direction, not as precise population values. The female × cannot-replace row and the learned-little × cannot-replace row have the same OR by coincidence (both 2×2 tables are 17/10 versus 2/9); they are not the same test.</w:t>
      </w:r>
    </w:p>
    <w:bookmarkEnd w:id="37"/>
    <w:bookmarkStart w:id="38" w:name="could-online-chinese-replace-the-campus"/>
    <w:p>
      <w:pPr>
        <w:pStyle w:val="Heading3"/>
      </w:pPr>
      <w:r>
        <w:t xml:space="preserve">5.5 Could online Chinese replace the campus?</w:t>
      </w:r>
    </w:p>
    <w:p>
      <w:pPr>
        <w:pStyle w:val="FirstParagraph"/>
      </w:pPr>
      <w:r>
        <w:t xml:space="preserve">Nineteen of 38 said online study could replace campus classes and 19 said it could not. Among women, 9 of 11 said it cannot (82%); among men, 10 of 27 said so (37%) (OR = 7.65, 95% CI [1.37, 42.71],</w:t>
      </w:r>
      <w:r>
        <w:t xml:space="preserve"> </w:t>
      </w:r>
      <w:r>
        <w:rPr>
          <w:iCs/>
          <w:i/>
        </w:rPr>
        <w:t xml:space="preserve">p</w:t>
      </w:r>
      <w:r>
        <w:t xml:space="preserve"> </w:t>
      </w:r>
      <w:r>
        <w:t xml:space="preserve">= .029, φ = .41). Those who learned little or nothing more often said it cannot replace campus. Among those with poor internet, 8 of 10 said it cannot, versus 11 of 28 of the rest (</w:t>
      </w:r>
      <w:r>
        <w:rPr>
          <w:iCs/>
          <w:i/>
        </w:rPr>
        <w:t xml:space="preserve">p</w:t>
      </w:r>
      <w:r>
        <w:t xml:space="preserve"> </w:t>
      </w:r>
      <w:r>
        <w:t xml:space="preserve">= .062).</w:t>
      </w:r>
    </w:p>
    <w:p>
      <w:pPr>
        <w:pStyle w:val="BodyText"/>
      </w:pPr>
      <w:r>
        <w:t xml:space="preserve">Mann-Whitney tests on the ordinals by gender were non-significant. The gender difference is not that women scored as having learned less. Women more often refused to treat online Chinese as a campus substitute.</w:t>
      </w:r>
    </w:p>
    <w:p>
      <w:pPr>
        <w:pStyle w:val="BodyText"/>
      </w:pPr>
      <w:r>
        <w:t xml:space="preserve">A second pattern sits beside that refusal: 19 of 27 men (70.4%) were working while studying, against 3 of 11 women (27.3%) (Fisher</w:t>
      </w:r>
      <w:r>
        <w:t xml:space="preserve"> </w:t>
      </w:r>
      <w:r>
        <w:rPr>
          <w:iCs/>
          <w:i/>
        </w:rPr>
        <w:t xml:space="preserve">p</w:t>
      </w:r>
      <w:r>
        <w:t xml:space="preserve"> </w:t>
      </w:r>
      <w:r>
        <w:t xml:space="preserve">= .028). Men in this sample more often combined wage labour with emergency remote teaching; women more often refused to count it as campus. Both patterns are signals in a male-majority sample, not a full gender analysis.</w:t>
      </w:r>
    </w:p>
    <w:bookmarkEnd w:id="38"/>
    <w:bookmarkStart w:id="39" w:name="sensitivity"/>
    <w:p>
      <w:pPr>
        <w:pStyle w:val="Heading3"/>
      </w:pPr>
      <w:r>
        <w:t xml:space="preserve">5.6 Sensitivity</w:t>
      </w:r>
    </w:p>
    <w:p>
      <w:pPr>
        <w:pStyle w:val="FirstParagraph"/>
      </w:pPr>
      <w:r>
        <w:t xml:space="preserve">Table 5 repeats the two focal tests. Among Pakistani respondents only (n = 37), unstable networks remained 75.7% and power cuts 43.2%; the home-stress association remained</w:t>
      </w:r>
      <w:r>
        <w:t xml:space="preserve"> </w:t>
      </w:r>
      <w:r>
        <w:rPr>
          <w:iCs/>
          <w:i/>
        </w:rPr>
        <w:t xml:space="preserve">p</w:t>
      </w:r>
      <w:r>
        <w:t xml:space="preserve"> </w:t>
      </w:r>
      <w:r>
        <w:t xml:space="preserve">&lt; .001 and speed × appraisal was ρ = .67. Among responses whose IP was not labelled mainland China (n = 29), the same figures were 75.9%, 41.4%,</w:t>
      </w:r>
      <w:r>
        <w:t xml:space="preserve"> </w:t>
      </w:r>
      <w:r>
        <w:rPr>
          <w:iCs/>
          <w:i/>
        </w:rPr>
        <w:t xml:space="preserve">p</w:t>
      </w:r>
      <w:r>
        <w:t xml:space="preserve"> </w:t>
      </w:r>
      <w:r>
        <w:t xml:space="preserve">&lt; .001, and ρ = .70. Restricting the sample does not reverse the associations.</w:t>
      </w:r>
    </w:p>
    <w:p>
      <w:pPr>
        <w:pStyle w:val="BodyText"/>
      </w:pPr>
      <w:r>
        <w:rPr>
          <w:bCs/>
          <w:b/>
        </w:rPr>
        <w:t xml:space="preserve">Table 5</w:t>
      </w:r>
    </w:p>
    <w:p>
      <w:pPr>
        <w:pStyle w:val="BodyText"/>
      </w:pPr>
      <w:r>
        <w:rPr>
          <w:iCs/>
          <w:i/>
        </w:rPr>
        <w:t xml:space="preserve">Sensitivity: same associations in restricted samples</w:t>
      </w:r>
    </w:p>
    <w:tbl>
      <w:tblPr>
        <w:tblStyle w:val="Table"/>
        <w:tblW w:type="pct" w:w="5000"/>
        <w:tblLook w:firstRow="1" w:lastRow="0" w:firstColumn="0" w:lastColumn="0" w:noHBand="0" w:noVBand="0" w:val="0020"/>
        <w:jc w:val="start"/>
      </w:tblPr>
      <w:tblGrid>
        <w:gridCol w:w="1131"/>
        <w:gridCol w:w="1508"/>
        <w:gridCol w:w="1508"/>
        <w:gridCol w:w="1508"/>
        <w:gridCol w:w="1131"/>
        <w:gridCol w:w="1131"/>
      </w:tblGrid>
      <w:tr>
        <w:trPr>
          <w:tblHeader w:val="true"/>
        </w:trPr>
        <w:tc>
          <w:tcPr/>
          <w:p>
            <w:pPr>
              <w:pStyle w:val="Compact"/>
              <w:jc w:val="left"/>
            </w:pPr>
            <w:r>
              <w:t xml:space="preserve">Sample</w:t>
            </w:r>
          </w:p>
        </w:tc>
        <w:tc>
          <w:tcPr/>
          <w:p>
            <w:pPr>
              <w:pStyle w:val="Compact"/>
              <w:jc w:val="right"/>
            </w:pPr>
            <w:r>
              <w:t xml:space="preserve">n</w:t>
            </w:r>
          </w:p>
        </w:tc>
        <w:tc>
          <w:tcPr/>
          <w:p>
            <w:pPr>
              <w:pStyle w:val="Compact"/>
              <w:jc w:val="right"/>
            </w:pPr>
            <w:r>
              <w:t xml:space="preserve">Unstable net %</w:t>
            </w:r>
          </w:p>
        </w:tc>
        <w:tc>
          <w:tcPr/>
          <w:p>
            <w:pPr>
              <w:pStyle w:val="Compact"/>
              <w:jc w:val="right"/>
            </w:pPr>
            <w:r>
              <w:t xml:space="preserve">No power %</w:t>
            </w:r>
          </w:p>
        </w:tc>
        <w:tc>
          <w:tcPr/>
          <w:p>
            <w:pPr>
              <w:pStyle w:val="Compact"/>
              <w:jc w:val="left"/>
            </w:pPr>
            <w:r>
              <w:t xml:space="preserve">Home × high stress</w:t>
            </w:r>
          </w:p>
        </w:tc>
        <w:tc>
          <w:tcPr/>
          <w:p>
            <w:pPr>
              <w:pStyle w:val="Compact"/>
              <w:jc w:val="left"/>
            </w:pPr>
            <w:r>
              <w:t xml:space="preserve">Speed × appraisal</w:t>
            </w:r>
          </w:p>
        </w:tc>
      </w:tr>
      <w:tr>
        <w:tc>
          <w:tcPr/>
          <w:p>
            <w:pPr>
              <w:pStyle w:val="Compact"/>
              <w:jc w:val="left"/>
            </w:pPr>
            <w:r>
              <w:t xml:space="preserve">Full sample</w:t>
            </w:r>
          </w:p>
        </w:tc>
        <w:tc>
          <w:tcPr/>
          <w:p>
            <w:pPr>
              <w:pStyle w:val="Compact"/>
              <w:jc w:val="right"/>
            </w:pPr>
            <w:r>
              <w:t xml:space="preserve">38</w:t>
            </w:r>
          </w:p>
        </w:tc>
        <w:tc>
          <w:tcPr/>
          <w:p>
            <w:pPr>
              <w:pStyle w:val="Compact"/>
              <w:jc w:val="right"/>
            </w:pPr>
            <w:r>
              <w:t xml:space="preserve">76.3</w:t>
            </w:r>
          </w:p>
        </w:tc>
        <w:tc>
          <w:tcPr/>
          <w:p>
            <w:pPr>
              <w:pStyle w:val="Compact"/>
              <w:jc w:val="right"/>
            </w:pPr>
            <w:r>
              <w:t xml:space="preserve">42.1</w:t>
            </w:r>
          </w:p>
        </w:tc>
        <w:tc>
          <w:tcPr/>
          <w:p>
            <w:pPr>
              <w:pStyle w:val="Compact"/>
              <w:jc w:val="left"/>
            </w:pPr>
            <w:r>
              <w:rPr>
                <w:iCs/>
                <w:i/>
              </w:rPr>
              <w:t xml:space="preserve">p</w:t>
            </w:r>
            <w:r>
              <w:t xml:space="preserve"> </w:t>
            </w:r>
            <w:r>
              <w:t xml:space="preserve">&lt; .001</w:t>
            </w:r>
          </w:p>
        </w:tc>
        <w:tc>
          <w:tcPr/>
          <w:p>
            <w:pPr>
              <w:pStyle w:val="Compact"/>
              <w:jc w:val="left"/>
            </w:pPr>
            <w:r>
              <w:t xml:space="preserve">ρ = .65</w:t>
            </w:r>
          </w:p>
        </w:tc>
      </w:tr>
      <w:tr>
        <w:tc>
          <w:tcPr/>
          <w:p>
            <w:pPr>
              <w:pStyle w:val="Compact"/>
              <w:jc w:val="left"/>
            </w:pPr>
            <w:r>
              <w:t xml:space="preserve">Pakistani only</w:t>
            </w:r>
          </w:p>
        </w:tc>
        <w:tc>
          <w:tcPr/>
          <w:p>
            <w:pPr>
              <w:pStyle w:val="Compact"/>
              <w:jc w:val="right"/>
            </w:pPr>
            <w:r>
              <w:t xml:space="preserve">37</w:t>
            </w:r>
          </w:p>
        </w:tc>
        <w:tc>
          <w:tcPr/>
          <w:p>
            <w:pPr>
              <w:pStyle w:val="Compact"/>
              <w:jc w:val="right"/>
            </w:pPr>
            <w:r>
              <w:t xml:space="preserve">75.7</w:t>
            </w:r>
          </w:p>
        </w:tc>
        <w:tc>
          <w:tcPr/>
          <w:p>
            <w:pPr>
              <w:pStyle w:val="Compact"/>
              <w:jc w:val="right"/>
            </w:pPr>
            <w:r>
              <w:t xml:space="preserve">43.2</w:t>
            </w:r>
          </w:p>
        </w:tc>
        <w:tc>
          <w:tcPr/>
          <w:p>
            <w:pPr>
              <w:pStyle w:val="Compact"/>
              <w:jc w:val="left"/>
            </w:pPr>
            <w:r>
              <w:rPr>
                <w:iCs/>
                <w:i/>
              </w:rPr>
              <w:t xml:space="preserve">p</w:t>
            </w:r>
            <w:r>
              <w:t xml:space="preserve"> </w:t>
            </w:r>
            <w:r>
              <w:t xml:space="preserve">&lt; .001</w:t>
            </w:r>
          </w:p>
        </w:tc>
        <w:tc>
          <w:tcPr/>
          <w:p>
            <w:pPr>
              <w:pStyle w:val="Compact"/>
              <w:jc w:val="left"/>
            </w:pPr>
            <w:r>
              <w:t xml:space="preserve">ρ = .67</w:t>
            </w:r>
          </w:p>
        </w:tc>
      </w:tr>
      <w:tr>
        <w:tc>
          <w:tcPr/>
          <w:p>
            <w:pPr>
              <w:pStyle w:val="Compact"/>
              <w:jc w:val="left"/>
            </w:pPr>
            <w:r>
              <w:t xml:space="preserve">IP not in mainland China</w:t>
            </w:r>
          </w:p>
        </w:tc>
        <w:tc>
          <w:tcPr/>
          <w:p>
            <w:pPr>
              <w:pStyle w:val="Compact"/>
              <w:jc w:val="right"/>
            </w:pPr>
            <w:r>
              <w:t xml:space="preserve">29</w:t>
            </w:r>
          </w:p>
        </w:tc>
        <w:tc>
          <w:tcPr/>
          <w:p>
            <w:pPr>
              <w:pStyle w:val="Compact"/>
              <w:jc w:val="right"/>
            </w:pPr>
            <w:r>
              <w:t xml:space="preserve">75.9</w:t>
            </w:r>
          </w:p>
        </w:tc>
        <w:tc>
          <w:tcPr/>
          <w:p>
            <w:pPr>
              <w:pStyle w:val="Compact"/>
              <w:jc w:val="right"/>
            </w:pPr>
            <w:r>
              <w:t xml:space="preserve">41.4</w:t>
            </w:r>
          </w:p>
        </w:tc>
        <w:tc>
          <w:tcPr/>
          <w:p>
            <w:pPr>
              <w:pStyle w:val="Compact"/>
              <w:jc w:val="left"/>
            </w:pPr>
            <w:r>
              <w:rPr>
                <w:iCs/>
                <w:i/>
              </w:rPr>
              <w:t xml:space="preserve">p</w:t>
            </w:r>
            <w:r>
              <w:t xml:space="preserve"> </w:t>
            </w:r>
            <w:r>
              <w:t xml:space="preserve">&lt; .001</w:t>
            </w:r>
          </w:p>
        </w:tc>
        <w:tc>
          <w:tcPr/>
          <w:p>
            <w:pPr>
              <w:pStyle w:val="Compact"/>
              <w:jc w:val="left"/>
            </w:pPr>
            <w:r>
              <w:t xml:space="preserve">ρ = .70</w:t>
            </w:r>
          </w:p>
        </w:tc>
      </w:tr>
    </w:tbl>
    <w:bookmarkEnd w:id="39"/>
    <w:bookmarkEnd w:id="40"/>
    <w:bookmarkStart w:id="45" w:name="discussion"/>
    <w:p>
      <w:pPr>
        <w:pStyle w:val="Heading2"/>
      </w:pPr>
      <w:r>
        <w:t xml:space="preserve">6. Discussion</w:t>
      </w:r>
    </w:p>
    <w:bookmarkStart w:id="41" w:name="a-campus-curriculum-without-the-campus"/>
    <w:p>
      <w:pPr>
        <w:pStyle w:val="Heading3"/>
      </w:pPr>
      <w:r>
        <w:t xml:space="preserve">6.1 A campus curriculum without the campus</w:t>
      </w:r>
    </w:p>
    <w:p>
      <w:pPr>
        <w:pStyle w:val="FirstParagraph"/>
      </w:pPr>
      <w:r>
        <w:t xml:space="preserve">Chinese-university language programmes imagine a campus: a dormitory, a classroom, extra-curricular Chinese, and an HSK calendar. Emergency remote teaching kept the assessment plan and removed the campus for those who were offshore. Very high stress at 36.8% is not only pandemic psychology. It is also language-learning psychology once speaking and listening, the skills that most need a live other, meet an unstable connection and a lively room (cf. MacIntyre et al., 2020). The home-stress association is the empirical core of that claim.</w:t>
      </w:r>
    </w:p>
    <w:p>
      <w:pPr>
        <w:pStyle w:val="BodyText"/>
      </w:pPr>
      <w:r>
        <w:t xml:space="preserve">The finding remains relevant after the emergency because hybrid ICLE and HSK delivery on Chinese-campus systems are still often designed as if the login, the hour, and the room were campus-like. Moorhouse et al. (2023) describe technological normalisation after the return to class. Stockwell and Wang (2023) warn that treating videoconferencing as a copy of campus teaching is a limited lesson from the crisis. This corridor did not reach that normalisation. Before a learner can invest in a later digital practice such as generative AI (Darvin, 2025), the class has to open, the current has to hold, and the house has to allow a voice.</w:t>
      </w:r>
    </w:p>
    <w:bookmarkEnd w:id="41"/>
    <w:bookmarkStart w:id="42" w:name="X3acea38e0eaa813d07faf5a60d129f027ed62fe"/>
    <w:p>
      <w:pPr>
        <w:pStyle w:val="Heading3"/>
      </w:pPr>
      <w:r>
        <w:t xml:space="preserve">6.2 Sequence, speed, and the geography of the login</w:t>
      </w:r>
    </w:p>
    <w:p>
      <w:pPr>
        <w:pStyle w:val="FirstParagraph"/>
      </w:pPr>
      <w:r>
        <w:t xml:space="preserve">The findings fit van Dijk’s order better than a single</w:t>
      </w:r>
      <w:r>
        <w:t xml:space="preserve"> </w:t>
      </w:r>
      <w:r>
        <w:t xml:space="preserve">“</w:t>
      </w:r>
      <w:r>
        <w:t xml:space="preserve">poor internet</w:t>
      </w:r>
      <w:r>
        <w:t xml:space="preserve">”</w:t>
      </w:r>
      <w:r>
        <w:t xml:space="preserve"> </w:t>
      </w:r>
      <w:r>
        <w:t xml:space="preserve">headline. Power and signal sit under speed. Speed tracks learning appraisal and interaction. A tally of infrastructure problems does not. Campus platforms sit in another country from the applications that actually open. Training teachers in Chaoxing breakout rooms addresses a layer many of these students could not enter. For this corridor the earlier layers are household electricity and whether the campus login opens on the phone the student has.</w:t>
      </w:r>
    </w:p>
    <w:bookmarkEnd w:id="42"/>
    <w:bookmarkStart w:id="43" w:name="investment-as-a-reading-of-participation"/>
    <w:p>
      <w:pPr>
        <w:pStyle w:val="Heading3"/>
      </w:pPr>
      <w:r>
        <w:t xml:space="preserve">6.3 Investment as a reading of participation</w:t>
      </w:r>
    </w:p>
    <w:p>
      <w:pPr>
        <w:pStyle w:val="FirstParagraph"/>
      </w:pPr>
      <w:r>
        <w:t xml:space="preserve">Norton’s model is often used to describe learners who insist on speaking. It also describes withdrawal that is rational under cost. Darvin and Norton (2023) distinguish this from motivation: a student may still want Chinese and yet not be invested in the practices of a given class. If the imagined return of Chinese remains high, but the daily cost (data, a lively house, a job, a class that will not load) remains higher, the emergency class can be unworkable even when motivation is not. Only 15.8% said they interacted with the teacher</w:t>
      </w:r>
      <w:r>
        <w:t xml:space="preserve"> </w:t>
      </w:r>
      <w:r>
        <w:t xml:space="preserve">“</w:t>
      </w:r>
      <w:r>
        <w:t xml:space="preserve">very much</w:t>
      </w:r>
      <w:r>
        <w:t xml:space="preserve">”</w:t>
      </w:r>
      <w:r>
        <w:t xml:space="preserve">; 28.9% learned little or nothing. The even split on replacement is a disagreement over whether emergency remote teaching counts as Chinese class. Women in this sample more often settled that disagreement in the negative. These are proxies for participation and legitimacy, not a full measure of investment.</w:t>
      </w:r>
    </w:p>
    <w:p>
      <w:pPr>
        <w:pStyle w:val="BodyText"/>
      </w:pPr>
      <w:r>
        <w:t xml:space="preserve">Darvin and Norton (2015) argued that digital spaces reconfigure capital. Campus Chinese offers embodied speaking practice. Home emergency teaching, on these items, offered thinner teacher interaction and mixed learning appraisal. That is a plausible loss of oral practice, not a measured loss of oral capital. It is the kind of (dis)investment among international students of languages other than English that Hajar and Karakuş (2024) place on the current agenda.</w:t>
      </w:r>
    </w:p>
    <w:bookmarkEnd w:id="43"/>
    <w:bookmarkStart w:id="44" w:name="X39950e1efabcdc47d874a9648c402485941641e"/>
    <w:p>
      <w:pPr>
        <w:pStyle w:val="Heading3"/>
      </w:pPr>
      <w:r>
        <w:t xml:space="preserve">6.4 Localising delivery, not only cultural content</w:t>
      </w:r>
    </w:p>
    <w:p>
      <w:pPr>
        <w:pStyle w:val="FirstParagraph"/>
      </w:pPr>
      <w:r>
        <w:t xml:space="preserve">ICLE debates on localisation often ask whether a textbook should replace Beijing place names with local names, or whether festival content needs Islamic-context mediation. Those questions belong in work on materials in Pakistani universities. The present data push localisation into course delivery. A culturally adapted lesson still fails if it is a synchronous oral lesson delivered into load-shedding. Material-context fit means whether this component of the course can be used by these learners in this programme ecology. In the emergency, the programme ecology was a Chinese-university timetable, the users sat in Pakistani houses, and the material was a live class that assumed campus conditions. Hybrid ICLE that still copies that timetable onto Tencent Meeting or Chaoxing, without asking whether the application opens and whether the house can hold a 45-minute oral hour, repeats the misfit after the pandemic.</w:t>
      </w:r>
    </w:p>
    <w:p>
      <w:pPr>
        <w:pStyle w:val="BodyText"/>
      </w:pPr>
      <w:r>
        <w:t xml:space="preserve">What follows for course design is modest and local to this sample. Disruption-ready Chinese is a curriculum problem, not only a platform subscription. Asynchronous oral alternatives (short voice tasks with delayed feedback; voice notes that survive low bandwidth) belong in the language-course handbook rather than being invented in a crisis. If speaking was structurally difficult to practise, progression decisions should not rest on oral-equivalent standards without adjustment. Prepaid data for offshore students is a language-learning resource in the same sense that textbooks are. If live classes follow Beijing time, attendance measures electricity and the clock as well as diligence. And if Chaoxing and QQ do not open, the usable classroom is the tool that does. WhatsApp was marked available here; it was not recorded as used for class.</w:t>
      </w:r>
    </w:p>
    <w:p>
      <w:pPr>
        <w:pStyle w:val="BodyText"/>
      </w:pPr>
      <w:r>
        <w:t xml:space="preserve">The same households send students to Confucius Institutes and to Chinese universities. Hybrid institute teaching that assumes uninterrupted Zoom reproduces the same misfit. Localisation for Pakistani Chinese teachers has to include checks of power, devices, and mediation language as well as textbook adaptation.</w:t>
      </w:r>
    </w:p>
    <w:p>
      <w:pPr>
        <w:pStyle w:val="BodyText"/>
      </w:pPr>
      <w:r>
        <w:t xml:space="preserve">The sample is 71% male. Digital inequality in Pakistani households is gendered (Raza &amp; Hennessy, 2025), and a Chinese-university sample recruited through male-dense networks will under-represent that pattern. On most ordinals, men and women did not differ. On replacement, women more often said no. On paid work, men more often said yes. The data cannot show how women lived the noisy home, the power cut, or the blocked Chaoxing login. Future work on this corridor should oversample Pakistani women, compare home learners enrolled in China with Confucius Institute learners in the same cities, and follow oral and written skill with tasks rather than only self-report. How</w:t>
      </w:r>
      <w:r>
        <w:t xml:space="preserve"> </w:t>
      </w:r>
      <w:r>
        <w:rPr>
          <w:iCs/>
          <w:i/>
        </w:rPr>
        <w:t xml:space="preserve">HSK Standard Course</w:t>
      </w:r>
      <w:r>
        <w:t xml:space="preserve"> </w:t>
      </w:r>
      <w:r>
        <w:t xml:space="preserve">is used in Pakistani universities is a different paper.</w:t>
      </w:r>
    </w:p>
    <w:bookmarkEnd w:id="44"/>
    <w:bookmarkEnd w:id="45"/>
    <w:bookmarkStart w:id="46" w:name="limitations"/>
    <w:p>
      <w:pPr>
        <w:pStyle w:val="Heading2"/>
      </w:pPr>
      <w:r>
        <w:t xml:space="preserve">7. Limitations</w:t>
      </w:r>
    </w:p>
    <w:p>
      <w:pPr>
        <w:pStyle w:val="FirstParagraph"/>
      </w:pPr>
      <w:r>
        <w:t xml:space="preserve">The sample is small (N = 38), and odds-ratio intervals are wide; they are reported as direction plus exact tests, not as precise population values. It is a male-majority convenience sample of phone users, with nine responses labelled mainland China, so the findings describe this network rather than Pakistani women as a group or a census of students in Pakistan that week. Sensitivity analyses on n = 37 and n = 29 do not remove that limit. All outcomes are self-report; there are no HSK scores or oral tasks, and</w:t>
      </w:r>
      <w:r>
        <w:t xml:space="preserve"> </w:t>
      </w:r>
      <w:r>
        <w:t xml:space="preserve">“</w:t>
      </w:r>
      <w:r>
        <w:t xml:space="preserve">advanced</w:t>
      </w:r>
      <w:r>
        <w:t xml:space="preserve">”</w:t>
      </w:r>
      <w:r>
        <w:t xml:space="preserve"> </w:t>
      </w:r>
      <w:r>
        <w:t xml:space="preserve">is a self-rating. Chinese-medium items with non-native wording may have been understood unevenly. The questionnaire does not name the host university, textbook, or award type, and investment was not measured as a scale. The 2022 collection was not assigned an institutional ethics number. The transferable claim concerns inequality, home, platform access, and participation, not the pandemic as such.</w:t>
      </w:r>
    </w:p>
    <w:bookmarkEnd w:id="46"/>
    <w:bookmarkStart w:id="47" w:name="conclusion"/>
    <w:p>
      <w:pPr>
        <w:pStyle w:val="Heading2"/>
      </w:pPr>
      <w:r>
        <w:t xml:space="preserve">8. Conclusion</w:t>
      </w:r>
    </w:p>
    <w:p>
      <w:pPr>
        <w:pStyle w:val="FirstParagraph"/>
      </w:pPr>
      <w:r>
        <w:t xml:space="preserve">Pakistani students who learned Chinese through this emergency did not mainly fail to adapt to online learning. Many homes were asked to carry a Chinese-university class. Many had no quiet room, no stable power, and no login that matched the campus system. Digital inequality entered as electricity, speed, and platform access. Participation looked like thin interaction, mixed learning appraisal, and an even split over whether this counted as class. Women in the sample more often refused that count. Localising Chinese teaching for this corridor means fitting delivery to the house and to the application that actually opens. That is a problem of language, culture, and curriculum. The field has moved on to blended normalisation and generative AI. The inequality in these data has not.</w:t>
      </w:r>
    </w:p>
    <w:bookmarkEnd w:id="47"/>
    <w:bookmarkStart w:id="48" w:name="references"/>
    <w:p>
      <w:pPr>
        <w:pStyle w:val="Heading2"/>
      </w:pPr>
      <w:r>
        <w:t xml:space="preserve">References</w:t>
      </w:r>
    </w:p>
    <w:p>
      <w:pPr>
        <w:pStyle w:val="FirstParagraph"/>
      </w:pPr>
      <w:r>
        <w:t xml:space="preserve">Ali, W. (2020). Online and remote learning in higher education institutes: A necessity in light of COVID-19 pandemic.</w:t>
      </w:r>
      <w:r>
        <w:t xml:space="preserve"> </w:t>
      </w:r>
      <w:r>
        <w:rPr>
          <w:iCs/>
          <w:i/>
        </w:rPr>
        <w:t xml:space="preserve">Higher Education Studies, 10</w:t>
      </w:r>
      <w:r>
        <w:t xml:space="preserve">(3), 16-25. https://doi.org/10.5539/hes.v10n3p16</w:t>
      </w:r>
    </w:p>
    <w:p>
      <w:pPr>
        <w:pStyle w:val="BodyText"/>
      </w:pPr>
      <w:r>
        <w:t xml:space="preserve">Darvin, R. (2025). Identity and investment in the age of generative AI.</w:t>
      </w:r>
      <w:r>
        <w:t xml:space="preserve"> </w:t>
      </w:r>
      <w:r>
        <w:rPr>
          <w:iCs/>
          <w:i/>
        </w:rPr>
        <w:t xml:space="preserve">Annual Review of Applied Linguistics, 45</w:t>
      </w:r>
      <w:r>
        <w:t xml:space="preserve">, 10-27. https://doi.org/10.1017/S0267190525100135</w:t>
      </w:r>
    </w:p>
    <w:p>
      <w:pPr>
        <w:pStyle w:val="BodyText"/>
      </w:pPr>
      <w:r>
        <w:t xml:space="preserve">Darvin, R., &amp; Norton, B. (2015). Identity and a model of investment in applied linguistics.</w:t>
      </w:r>
      <w:r>
        <w:t xml:space="preserve"> </w:t>
      </w:r>
      <w:r>
        <w:rPr>
          <w:iCs/>
          <w:i/>
        </w:rPr>
        <w:t xml:space="preserve">Annual Review of Applied Linguistics, 35</w:t>
      </w:r>
      <w:r>
        <w:t xml:space="preserve">, 36-51. https://doi.org/10.1017/S0267190514000251</w:t>
      </w:r>
    </w:p>
    <w:p>
      <w:pPr>
        <w:pStyle w:val="BodyText"/>
      </w:pPr>
      <w:r>
        <w:t xml:space="preserve">Darvin, R., &amp; Norton, B. (2023). Investment and motivation in language learning: What’s the difference?</w:t>
      </w:r>
      <w:r>
        <w:t xml:space="preserve"> </w:t>
      </w:r>
      <w:r>
        <w:rPr>
          <w:iCs/>
          <w:i/>
        </w:rPr>
        <w:t xml:space="preserve">Language Teaching, 56</w:t>
      </w:r>
      <w:r>
        <w:t xml:space="preserve">(1), 29-40. https://doi.org/10.1017/S0261444821000057</w:t>
      </w:r>
    </w:p>
    <w:p>
      <w:pPr>
        <w:pStyle w:val="BodyText"/>
      </w:pPr>
      <w:r>
        <w:t xml:space="preserve">Gacs, A., Goertler, S., &amp; Spasova, S. (2020). Planned online language education versus crisis-prompted online language teaching: Lessons for the future.</w:t>
      </w:r>
      <w:r>
        <w:t xml:space="preserve"> </w:t>
      </w:r>
      <w:r>
        <w:rPr>
          <w:iCs/>
          <w:i/>
        </w:rPr>
        <w:t xml:space="preserve">Foreign Language Annals, 53</w:t>
      </w:r>
      <w:r>
        <w:t xml:space="preserve">(2), 380-392. https://doi.org/10.1111/flan.12460</w:t>
      </w:r>
    </w:p>
    <w:p>
      <w:pPr>
        <w:pStyle w:val="BodyText"/>
      </w:pPr>
      <w:r>
        <w:t xml:space="preserve">Gao, X., &amp; Hua, Z. (2021). Experiencing Chinese education: Learning of language and culture by international students in Chinese universities.</w:t>
      </w:r>
      <w:r>
        <w:t xml:space="preserve"> </w:t>
      </w:r>
      <w:r>
        <w:rPr>
          <w:iCs/>
          <w:i/>
        </w:rPr>
        <w:t xml:space="preserve">Language, Culture and Curriculum, 34</w:t>
      </w:r>
      <w:r>
        <w:t xml:space="preserve">(4), 353-359. https://doi.org/10.1080/07908318.2020.1871002</w:t>
      </w:r>
    </w:p>
    <w:p>
      <w:pPr>
        <w:pStyle w:val="BodyText"/>
      </w:pPr>
      <w:r>
        <w:t xml:space="preserve">Gong, Y., Gao, X., Li, M., &amp; Lai, C. (2020). Cultural adaptation challenges and strategies during study abroad: New Zealand students in China.</w:t>
      </w:r>
      <w:r>
        <w:t xml:space="preserve"> </w:t>
      </w:r>
      <w:r>
        <w:rPr>
          <w:iCs/>
          <w:i/>
        </w:rPr>
        <w:t xml:space="preserve">Language, Culture and Curriculum, 34</w:t>
      </w:r>
      <w:r>
        <w:t xml:space="preserve">(4), 417-437. https://doi.org/10.1080/07908318.2020.1856129</w:t>
      </w:r>
    </w:p>
    <w:p>
      <w:pPr>
        <w:pStyle w:val="BodyText"/>
      </w:pPr>
      <w:r>
        <w:t xml:space="preserve">Gong, Y., Gao, X., &amp; Lyu, B. (2020). Teaching Chinese as a second or foreign language to non-Chinese learners in mainland China (2014-2018).</w:t>
      </w:r>
      <w:r>
        <w:t xml:space="preserve"> </w:t>
      </w:r>
      <w:r>
        <w:rPr>
          <w:iCs/>
          <w:i/>
        </w:rPr>
        <w:t xml:space="preserve">Language Teaching, 53</w:t>
      </w:r>
      <w:r>
        <w:t xml:space="preserve">(1), 44-62. https://doi.org/10.1017/S0261444819000387</w:t>
      </w:r>
    </w:p>
    <w:p>
      <w:pPr>
        <w:pStyle w:val="BodyText"/>
      </w:pPr>
      <w:r>
        <w:t xml:space="preserve">Guenier, A. W., Xing, M., &amp; Yan, J. (2026). From barriers to breakthroughs: Communicating Chinese culture to Irish learners with a multimodality online course.</w:t>
      </w:r>
      <w:r>
        <w:t xml:space="preserve"> </w:t>
      </w:r>
      <w:r>
        <w:rPr>
          <w:iCs/>
          <w:i/>
        </w:rPr>
        <w:t xml:space="preserve">Language, Culture and Curriculum</w:t>
      </w:r>
      <w:r>
        <w:t xml:space="preserve">. Advance online publication. https://doi.org/10.1080/07908318.2026.2626775</w:t>
      </w:r>
    </w:p>
    <w:p>
      <w:pPr>
        <w:pStyle w:val="BodyText"/>
      </w:pPr>
      <w:r>
        <w:t xml:space="preserve">Guerrettaz, A. M., Engman, M. M., &amp; Matsumoto, Y. (2021). Empirically defining language learning and teaching materials in use: Holistic, situated, and dynamic perspectives.</w:t>
      </w:r>
      <w:r>
        <w:t xml:space="preserve"> </w:t>
      </w:r>
      <w:r>
        <w:rPr>
          <w:iCs/>
          <w:i/>
        </w:rPr>
        <w:t xml:space="preserve">The Modern Language Journal, 105</w:t>
      </w:r>
      <w:r>
        <w:t xml:space="preserve">(S1), 3-20. https://doi.org/10.1111/modl.12691</w:t>
      </w:r>
    </w:p>
    <w:p>
      <w:pPr>
        <w:pStyle w:val="BodyText"/>
      </w:pPr>
      <w:r>
        <w:t xml:space="preserve">Hajar, A., &amp; Karakuş, M. (2024). Three decades of research on the model of investment in applied linguistics: A bibliometric analysis and research agenda.</w:t>
      </w:r>
      <w:r>
        <w:t xml:space="preserve"> </w:t>
      </w:r>
      <w:r>
        <w:rPr>
          <w:iCs/>
          <w:i/>
        </w:rPr>
        <w:t xml:space="preserve">Language, Culture and Curriculum, 38</w:t>
      </w:r>
      <w:r>
        <w:t xml:space="preserve">(2), 175-206. https://doi.org/10.1080/07908318.2024.2435284</w:t>
      </w:r>
    </w:p>
    <w:p>
      <w:pPr>
        <w:pStyle w:val="BodyText"/>
      </w:pPr>
      <w:r>
        <w:t xml:space="preserve">Helsper, E. (2021).</w:t>
      </w:r>
      <w:r>
        <w:t xml:space="preserve"> </w:t>
      </w:r>
      <w:r>
        <w:rPr>
          <w:iCs/>
          <w:i/>
        </w:rPr>
        <w:t xml:space="preserve">The digital disconnect: The social causes and consequences of digital inequalities</w:t>
      </w:r>
      <w:r>
        <w:t xml:space="preserve">. SAGE.</w:t>
      </w:r>
    </w:p>
    <w:p>
      <w:pPr>
        <w:pStyle w:val="BodyText"/>
      </w:pPr>
      <w:r>
        <w:t xml:space="preserve">Hodges, C., Moore, S., Lockee, B., Trust, T., &amp; Bond, A. (2020). The difference between emergency remote teaching and online learning.</w:t>
      </w:r>
      <w:r>
        <w:t xml:space="preserve"> </w:t>
      </w:r>
      <w:r>
        <w:rPr>
          <w:iCs/>
          <w:i/>
        </w:rPr>
        <w:t xml:space="preserve">EDUCAUSE Review</w:t>
      </w:r>
      <w:r>
        <w:t xml:space="preserve">. https://er.educause.edu/articles/2020/3/the-difference-between-emergency-remote-teaching-and-online-learning</w:t>
      </w:r>
    </w:p>
    <w:p>
      <w:pPr>
        <w:pStyle w:val="BodyText"/>
      </w:pPr>
      <w:r>
        <w:t xml:space="preserve">Iftikhar, A., Li, C., Jiangyu, L., Xi, C., Tao, W., &amp; Haider, A. A. (2024). Perceptions, challenges, and opportunities of Chinese language learning in Punjab and Sindh, Pakistan: Exploring the role of CPEC.</w:t>
      </w:r>
      <w:r>
        <w:t xml:space="preserve"> </w:t>
      </w:r>
      <w:r>
        <w:rPr>
          <w:iCs/>
          <w:i/>
        </w:rPr>
        <w:t xml:space="preserve">New Directions for Child and Adolescent Development, 2024</w:t>
      </w:r>
      <w:r>
        <w:t xml:space="preserve">, Article 6662409. https://doi.org/10.1155/2024/6662409</w:t>
      </w:r>
    </w:p>
    <w:p>
      <w:pPr>
        <w:pStyle w:val="BodyText"/>
      </w:pPr>
      <w:r>
        <w:t xml:space="preserve">Li, J., &amp; Li, C. (2024). A scoping review of the research on the teaching models of online international Chinese language teaching.</w:t>
      </w:r>
      <w:r>
        <w:t xml:space="preserve"> </w:t>
      </w:r>
      <w:r>
        <w:rPr>
          <w:iCs/>
          <w:i/>
        </w:rPr>
        <w:t xml:space="preserve">Journal of Education and Learning, 13</w:t>
      </w:r>
      <w:r>
        <w:t xml:space="preserve">(4), 255. https://doi.org/10.5539/jel.v13n4p255</w:t>
      </w:r>
    </w:p>
    <w:p>
      <w:pPr>
        <w:pStyle w:val="BodyText"/>
      </w:pPr>
      <w:r>
        <w:t xml:space="preserve">Lu, X., Tan, A., Ma, Y., Feng, H., &amp; Hanif, B. (2024). Scenario analysis of localization and adaptation of Chinese language teaching.</w:t>
      </w:r>
      <w:r>
        <w:t xml:space="preserve"> </w:t>
      </w:r>
      <w:r>
        <w:rPr>
          <w:iCs/>
          <w:i/>
        </w:rPr>
        <w:t xml:space="preserve">Pakistan Journal of Humanities and Social Sciences, 12</w:t>
      </w:r>
      <w:r>
        <w:t xml:space="preserve">(4), 3257-3281. https://doi.org/10.52131/pjhss.2024.v12i4.2553</w:t>
      </w:r>
    </w:p>
    <w:p>
      <w:pPr>
        <w:pStyle w:val="BodyText"/>
      </w:pPr>
      <w:r>
        <w:t xml:space="preserve">MacIntyre, P. D., Gregersen, T., &amp; Mercer, S. (2020). Language teachers’ coping strategies during the Covid-19 conversion to online teaching: Correlations with stress, wellbeing and negative emotions.</w:t>
      </w:r>
      <w:r>
        <w:t xml:space="preserve"> </w:t>
      </w:r>
      <w:r>
        <w:rPr>
          <w:iCs/>
          <w:i/>
        </w:rPr>
        <w:t xml:space="preserve">System, 94</w:t>
      </w:r>
      <w:r>
        <w:t xml:space="preserve">, 102313. https://doi.org/10.1016/j.system.2020.102313</w:t>
      </w:r>
    </w:p>
    <w:p>
      <w:pPr>
        <w:pStyle w:val="BodyText"/>
      </w:pPr>
      <w:r>
        <w:t xml:space="preserve">Moorhouse, B. L. (2023). Teachers’ digital technology use after a period of online teaching.</w:t>
      </w:r>
      <w:r>
        <w:t xml:space="preserve"> </w:t>
      </w:r>
      <w:r>
        <w:rPr>
          <w:iCs/>
          <w:i/>
        </w:rPr>
        <w:t xml:space="preserve">ELT Journal, 77</w:t>
      </w:r>
      <w:r>
        <w:t xml:space="preserve">(4), 445-457. https://doi.org/10.1093/elt/ccac050</w:t>
      </w:r>
    </w:p>
    <w:p>
      <w:pPr>
        <w:pStyle w:val="BodyText"/>
      </w:pPr>
      <w:r>
        <w:t xml:space="preserve">Moorhouse, B. L., &amp; Kohnke, L. (2021). Responses of the English-language-teaching community to the COVID-19 pandemic.</w:t>
      </w:r>
      <w:r>
        <w:t xml:space="preserve"> </w:t>
      </w:r>
      <w:r>
        <w:rPr>
          <w:iCs/>
          <w:i/>
        </w:rPr>
        <w:t xml:space="preserve">RELC Journal, 52</w:t>
      </w:r>
      <w:r>
        <w:t xml:space="preserve">(3), 359-378. https://doi.org/10.1177/00336882211053052</w:t>
      </w:r>
    </w:p>
    <w:p>
      <w:pPr>
        <w:pStyle w:val="BodyText"/>
      </w:pPr>
      <w:r>
        <w:t xml:space="preserve">Moorhouse, B. L., Wong, K. M., &amp; Li, L. (2023). Teaching with technology in the post-pandemic digital age: Technological normalisation and AI-induced disruptions.</w:t>
      </w:r>
      <w:r>
        <w:t xml:space="preserve"> </w:t>
      </w:r>
      <w:r>
        <w:rPr>
          <w:iCs/>
          <w:i/>
        </w:rPr>
        <w:t xml:space="preserve">RELC Journal, 54</w:t>
      </w:r>
      <w:r>
        <w:t xml:space="preserve">(2), 311-320. https://doi.org/10.1177/00336882231176929</w:t>
      </w:r>
    </w:p>
    <w:p>
      <w:pPr>
        <w:pStyle w:val="BodyText"/>
      </w:pPr>
      <w:r>
        <w:t xml:space="preserve">Norton, B. (2013).</w:t>
      </w:r>
      <w:r>
        <w:t xml:space="preserve"> </w:t>
      </w:r>
      <w:r>
        <w:rPr>
          <w:iCs/>
          <w:i/>
        </w:rPr>
        <w:t xml:space="preserve">Identity and language learning: Extending the conversation</w:t>
      </w:r>
      <w:r>
        <w:t xml:space="preserve"> </w:t>
      </w:r>
      <w:r>
        <w:t xml:space="preserve">(2nd ed.). Multilingual Matters.</w:t>
      </w:r>
    </w:p>
    <w:p>
      <w:pPr>
        <w:pStyle w:val="BodyText"/>
      </w:pPr>
      <w:r>
        <w:t xml:space="preserve">Piller, I., Zhang, J., &amp; Li, J. (2020). Linguistic diversity in a time of crisis: Language challenges of the COVID-19 pandemic.</w:t>
      </w:r>
      <w:r>
        <w:t xml:space="preserve"> </w:t>
      </w:r>
      <w:r>
        <w:rPr>
          <w:iCs/>
          <w:i/>
        </w:rPr>
        <w:t xml:space="preserve">Multilingua, 39</w:t>
      </w:r>
      <w:r>
        <w:t xml:space="preserve">(5), 503-515. https://doi.org/10.1515/multi-2020-0136</w:t>
      </w:r>
    </w:p>
    <w:p>
      <w:pPr>
        <w:pStyle w:val="BodyText"/>
      </w:pPr>
      <w:r>
        <w:t xml:space="preserve">Raza, O., &amp; Hennessy, S. (2025).</w:t>
      </w:r>
      <w:r>
        <w:t xml:space="preserve"> </w:t>
      </w:r>
      <w:r>
        <w:rPr>
          <w:iCs/>
          <w:i/>
        </w:rPr>
        <w:t xml:space="preserve">Exploring the gender differences in technology use for educational purposes at home among students in Pakistan</w:t>
      </w:r>
      <w:r>
        <w:t xml:space="preserve">. EdTech Hub. https://doi.org/10.53832/edtechhub.1099</w:t>
      </w:r>
    </w:p>
    <w:p>
      <w:pPr>
        <w:pStyle w:val="BodyText"/>
      </w:pPr>
      <w:r>
        <w:t xml:space="preserve">Shan, Z., &amp; Xu, H. (2024). Students’ conceptions and experiences of institutionalised curriculum for multilingual learning: The case of a dual-foreign-languages programme.</w:t>
      </w:r>
      <w:r>
        <w:t xml:space="preserve"> </w:t>
      </w:r>
      <w:r>
        <w:rPr>
          <w:iCs/>
          <w:i/>
        </w:rPr>
        <w:t xml:space="preserve">Language, Culture and Curriculum, 37</w:t>
      </w:r>
      <w:r>
        <w:t xml:space="preserve">(2), 230-246. https://doi.org/10.1080/07908318.2024.2313984</w:t>
      </w:r>
    </w:p>
    <w:p>
      <w:pPr>
        <w:pStyle w:val="BodyText"/>
      </w:pPr>
      <w:r>
        <w:t xml:space="preserve">Stockwell, G., &amp; Wang, Y. (2023). Exploring the challenges of technology in language teaching in the aftermath of the pandemic.</w:t>
      </w:r>
      <w:r>
        <w:t xml:space="preserve"> </w:t>
      </w:r>
      <w:r>
        <w:rPr>
          <w:iCs/>
          <w:i/>
        </w:rPr>
        <w:t xml:space="preserve">RELC Journal, 54</w:t>
      </w:r>
      <w:r>
        <w:t xml:space="preserve">(2), 474-482. https://doi.org/10.1177/00336882231168438</w:t>
      </w:r>
    </w:p>
    <w:p>
      <w:pPr>
        <w:pStyle w:val="BodyText"/>
      </w:pPr>
      <w:r>
        <w:t xml:space="preserve">van Dijk, J. (2020).</w:t>
      </w:r>
      <w:r>
        <w:t xml:space="preserve"> </w:t>
      </w:r>
      <w:r>
        <w:rPr>
          <w:iCs/>
          <w:i/>
        </w:rPr>
        <w:t xml:space="preserve">The digital divide</w:t>
      </w:r>
      <w:r>
        <w:t xml:space="preserve">. Polity.</w:t>
      </w:r>
    </w:p>
    <w:p>
      <w:pPr>
        <w:pStyle w:val="BodyText"/>
      </w:pPr>
      <w:r>
        <w:t xml:space="preserve">van Lier, L. (2004).</w:t>
      </w:r>
      <w:r>
        <w:t xml:space="preserve"> </w:t>
      </w:r>
      <w:r>
        <w:rPr>
          <w:iCs/>
          <w:i/>
        </w:rPr>
        <w:t xml:space="preserve">The ecology and semiotics of language learning: A sociocultural perspective</w:t>
      </w:r>
      <w:r>
        <w:t xml:space="preserve">. Kluwer.</w:t>
      </w:r>
    </w:p>
    <w:p>
      <w:pPr>
        <w:pStyle w:val="BodyText"/>
      </w:pPr>
      <w:r>
        <w:t xml:space="preserve">Warschauer, M. (2003).</w:t>
      </w:r>
      <w:r>
        <w:t xml:space="preserve"> </w:t>
      </w:r>
      <w:r>
        <w:rPr>
          <w:iCs/>
          <w:i/>
        </w:rPr>
        <w:t xml:space="preserve">Technology and social inclusion: Rethinking the digital divide</w:t>
      </w:r>
      <w:r>
        <w:t xml:space="preserve">. MIT Press.</w:t>
      </w:r>
    </w:p>
    <w:p>
      <w:pPr>
        <w:pStyle w:val="BodyText"/>
      </w:pPr>
      <w:r>
        <w:t xml:space="preserve">Wen, X., &amp; Liu, F. (2025). Emotional dynamics of advanced Chinese as a second language learners: A Q methodology study.</w:t>
      </w:r>
      <w:r>
        <w:t xml:space="preserve"> </w:t>
      </w:r>
      <w:r>
        <w:rPr>
          <w:iCs/>
          <w:i/>
        </w:rPr>
        <w:t xml:space="preserve">Language, Culture and Curriculum, 38</w:t>
      </w:r>
      <w:r>
        <w:t xml:space="preserve">(3), 380-400. https://doi.org/10.1080/07908318.2025.2486449</w:t>
      </w:r>
    </w:p>
    <w:p>
      <w:pPr>
        <w:pStyle w:val="BodyText"/>
      </w:pPr>
      <w:r>
        <w:t xml:space="preserve">Xia, Y., Hu, Y., Wu, C., Yang, L., &amp; Lei, M. (2022). Challenges of online learning amid the COVID-19: College students’ perspective.</w:t>
      </w:r>
      <w:r>
        <w:t xml:space="preserve"> </w:t>
      </w:r>
      <w:r>
        <w:rPr>
          <w:iCs/>
          <w:i/>
        </w:rPr>
        <w:t xml:space="preserve">Frontiers in Psychology, 13</w:t>
      </w:r>
      <w:r>
        <w:t xml:space="preserve">, 1037311. https://doi.org/10.3389/fpsyg.2022.1037311</w:t>
      </w:r>
    </w:p>
    <w:p>
      <w:pPr>
        <w:pStyle w:val="BodyText"/>
      </w:pPr>
      <w:r>
        <w:t xml:space="preserve">Zhang, W., Wang, Y., Yang, L., &amp; Wang, C. (2020). Suspending classes without stopping learning: China’s education emergency management policy in the COVID-19 outbreak.</w:t>
      </w:r>
      <w:r>
        <w:t xml:space="preserve"> </w:t>
      </w:r>
      <w:r>
        <w:rPr>
          <w:iCs/>
          <w:i/>
        </w:rPr>
        <w:t xml:space="preserve">Journal of Risk and Financial Management, 13</w:t>
      </w:r>
      <w:r>
        <w:t xml:space="preserve">(3), 55. https://doi.org/10.3390/jrfm13030055</w:t>
      </w:r>
    </w:p>
    <w:p>
      <w:pPr>
        <w:pStyle w:val="BodyText"/>
      </w:pPr>
      <w:r>
        <w:t xml:space="preserve">Zhao, H., &amp; Huang, J. (2010). China’s policy of Chinese as a foreign language and the use of overseas Confucius Institutes.</w:t>
      </w:r>
      <w:r>
        <w:t xml:space="preserve"> </w:t>
      </w:r>
      <w:r>
        <w:rPr>
          <w:iCs/>
          <w:i/>
        </w:rPr>
        <w:t xml:space="preserve">Educational Research for Policy and Practice, 9</w:t>
      </w:r>
      <w:r>
        <w:t xml:space="preserve">, 127-142. https://doi.org/10.1007/s10671-009-9078-1</w:t>
      </w:r>
    </w:p>
    <w:bookmarkEnd w:id="48"/>
    <w:bookmarkEnd w:id="4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2026-08-23T05:31:46Z</dcterms:created>
  <dcterms:modified xsi:type="dcterms:W3CDTF">2026-08-23T05:31:46Z</dcterms:modified>
</cp:coreProperties>
</file>

<file path=docProps/custom.xml><?xml version="1.0" encoding="utf-8"?>
<Properties xmlns="http://schemas.openxmlformats.org/officeDocument/2006/custom-properties" xmlns:vt="http://schemas.openxmlformats.org/officeDocument/2006/docPropsVTypes"/>
</file>