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fe8d4829385d4367282f3ebdb9ea45ec57d310c"/>
    <w:p>
      <w:pPr>
        <w:pStyle w:val="Heading1"/>
      </w:pPr>
      <w:r>
        <w:t xml:space="preserve">Household infrastructure and platform access in online Chinese teaching: Localization of delivery in a travelling course</w:t>
      </w:r>
    </w:p>
    <w:p>
      <w:pPr>
        <w:pStyle w:val="FirstParagraph"/>
      </w:pPr>
      <w:r>
        <w:rPr>
          <w:bCs/>
          <w:b/>
        </w:rPr>
        <w:t xml:space="preserve">Short title:</w:t>
      </w:r>
      <w:r>
        <w:t xml:space="preserve"> </w:t>
      </w:r>
      <w:r>
        <w:t xml:space="preserve">Online Chinese teaching: household and platform access</w:t>
      </w:r>
    </w:p>
    <w:bookmarkStart w:id="20" w:name="abstract"/>
    <w:p>
      <w:pPr>
        <w:pStyle w:val="Heading2"/>
      </w:pPr>
      <w:r>
        <w:t xml:space="preserve">Abstract</w:t>
      </w:r>
    </w:p>
    <w:p>
      <w:pPr>
        <w:pStyle w:val="FirstParagraph"/>
      </w:pPr>
      <w:r>
        <w:t xml:space="preserve">Online Chinese teaching can fail as delivery: content may remain appropriate while the class is closed if household power, network speed, or platform access does not support the required timetable, platforms, oral tasks, and assessment. The study proposes localization of delivery—the fit of time, platform, task, participation mode, and assessment to the receiving context—as a distinct layer of localization work for a travelling online Chinese course. A Chinese-language questionnaire asked 38 self-selected respondents (37 selected Pakistani nationality) about those learner-side conditions. Unstable networks and power interruptions were common. Home affecting study</w:t>
      </w:r>
      <w:r>
        <w:t xml:space="preserve"> </w:t>
      </w:r>
      <w:r>
        <w:t xml:space="preserve">“</w:t>
      </w:r>
      <w:r>
        <w:t xml:space="preserve">very much</w:t>
      </w:r>
      <w:r>
        <w:t xml:space="preserve">”</w:t>
      </w:r>
      <w:r>
        <w:t xml:space="preserve"> </w:t>
      </w:r>
      <w:r>
        <w:t xml:space="preserve">co-occurred with</w:t>
      </w:r>
      <w:r>
        <w:t xml:space="preserve"> </w:t>
      </w:r>
      <w:r>
        <w:t xml:space="preserve">“</w:t>
      </w:r>
      <w:r>
        <w:t xml:space="preserve">very high stress,</w:t>
      </w:r>
      <w:r>
        <w:t xml:space="preserve">”</w:t>
      </w:r>
      <w:r>
        <w:t xml:space="preserve"> </w:t>
      </w:r>
      <w:r>
        <w:t xml:space="preserve">and worse reported internet speed was associated with a more negative appraisal of online learning. QQ and Chaoxing were often marked unusable; Zoom and WhatsApp were more often marked available. Findings are exploratory and specific to a small convenience sample during emergency remote teaching; they are not evidence about current hybrid practice.</w:t>
      </w:r>
    </w:p>
    <w:p>
      <w:pPr>
        <w:pStyle w:val="BodyText"/>
      </w:pPr>
      <w:r>
        <w:rPr>
          <w:bCs/>
          <w:b/>
        </w:rPr>
        <w:t xml:space="preserve">Keywords:</w:t>
      </w:r>
      <w:r>
        <w:t xml:space="preserve"> </w:t>
      </w:r>
      <w:r>
        <w:t xml:space="preserve">Chinese; online language teaching; household infrastructure; platform access; emergency remote teaching</w:t>
      </w:r>
    </w:p>
    <w:bookmarkEnd w:id="20"/>
    <w:bookmarkStart w:id="21" w:name="the-challenge"/>
    <w:p>
      <w:pPr>
        <w:pStyle w:val="Heading2"/>
      </w:pPr>
      <w:r>
        <w:t xml:space="preserve">The Challenge</w:t>
      </w:r>
    </w:p>
    <w:p>
      <w:pPr>
        <w:pStyle w:val="FirstParagraph"/>
      </w:pPr>
      <w:r>
        <w:t xml:space="preserve">When a Chinese course moves online, programs still have to decide the hour, the application, the oral task, and the form of assessment. If household power, network speed, or a required platform does not support those decisions, how should the program treat the failure: as a technical inconvenience, or as a teaching problem?</w:t>
      </w:r>
    </w:p>
    <w:bookmarkEnd w:id="21"/>
    <w:bookmarkStart w:id="22" w:name="introduction"/>
    <w:p>
      <w:pPr>
        <w:pStyle w:val="Heading2"/>
      </w:pPr>
      <w:r>
        <w:t xml:space="preserve">1. Introduction</w:t>
      </w:r>
    </w:p>
    <w:p>
      <w:pPr>
        <w:pStyle w:val="FirstParagraph"/>
      </w:pPr>
      <w:r>
        <w:t xml:space="preserve">An online Chinese course can keep its hours, platforms, oral tasks, and assessment, and still be a course learners cannot take. Online language programs commonly retain the timetable and classroom tasks of the sending class. Task guides still assume that learners can join a live or collaborative session (Gacs et al., 2020; González-Lloret, 2020; Hodges et al., 2020; Payne, 2020; Stockwell &amp; Wang, 2023). That assumption is already known to fail. Research on online language teaching, and on online international Chinese teaching, has documented unstable networks, platforms that are hard to open, thinner interaction, and learner strain (Li &amp; Li, 2024; Moser et al., 2021; Qi, 2025; Russell, 2020; Tao &amp; Gao, 2022). Owning a device is not participation when power, speed, or a usable application is missing (Ali, 2020; Beaunoyer et al., 2020; Guo &amp; Wan, 2022; Vishnu et al., 2024; Warschauer, 2003). Distance language learning had already asked whether a remote class was feasible (White, 2006). If those conditions do not support the required class, the content may remain appropriate while the class is closed. That is a delivery problem, not a content problem.</w:t>
      </w:r>
    </w:p>
    <w:p>
      <w:pPr>
        <w:pStyle w:val="BodyText"/>
      </w:pPr>
      <w:r>
        <w:t xml:space="preserve">What existing work has not done is to make those learner-side delivery conditions the primary object of study for online international Chinese teaching. Emergency writing used the failure as a setting for teacher workload, sending-side adaptation, or a videoconference copy of the campus hour (MacIntyre et al., 2020; Moser et al., 2021; Xu et al., 2022). Later work asked what should remain of emergency practice (Moorhouse, 2023; Stockwell &amp; Wang, 2023). Reviews still list technical trouble and still leave household access and digital equity under-examined (Li &amp; Li, 2024; Xu, 2024; Zhang &amp; Osborne, 2026). Designed online courses and studies of learner emotion show what planned online Chinese teaching can look like (Guenier et al., 2026; Qi, 2025; Wen &amp; Liu, 2025). They do not show whether a</w:t>
      </w:r>
      <w:r>
        <w:t xml:space="preserve"> </w:t>
      </w:r>
      <w:r>
        <w:rPr>
          <w:iCs/>
          <w:i/>
        </w:rPr>
        <w:t xml:space="preserve">travelling course</w:t>
      </w:r>
      <w:r>
        <w:t xml:space="preserve">—this article’s term, from Gacs et al. (2020), for a course designed in one institutional setting and taught in another—could still be taken where learners sat. International Chinese language education has said more about what a course</w:t>
      </w:r>
      <w:r>
        <w:t xml:space="preserve"> </w:t>
      </w:r>
      <w:r>
        <w:rPr>
          <w:iCs/>
          <w:i/>
        </w:rPr>
        <w:t xml:space="preserve">says</w:t>
      </w:r>
      <w:r>
        <w:t xml:space="preserve"> </w:t>
      </w:r>
      <w:r>
        <w:t xml:space="preserve">than about whether it can still be</w:t>
      </w:r>
      <w:r>
        <w:t xml:space="preserve"> </w:t>
      </w:r>
      <w:r>
        <w:rPr>
          <w:iCs/>
          <w:i/>
        </w:rPr>
        <w:t xml:space="preserve">taken</w:t>
      </w:r>
      <w:r>
        <w:t xml:space="preserve"> </w:t>
      </w:r>
      <w:r>
        <w:t xml:space="preserve">(Gong et al., 2020b; Lu et al., 2024; Zhao, 2020). Listing the difficulty is not the same as measuring the conditions that produce it.</w:t>
      </w:r>
    </w:p>
    <w:p>
      <w:pPr>
        <w:pStyle w:val="BodyText"/>
      </w:pPr>
      <w:r>
        <w:t xml:space="preserve">This study treats that gap as a research problem. Empirical work in this journal has already treated online world-language teaching as a problem of access, task design, interaction, anxiety, and emergency adaptation (Gacs et al., 2020; González-Lloret, 2020; Jin et al., 2023; Lomicka, 2020; Payne, 2020; Russell, 2020; Xu et al., 2022; Zhang &amp; Liu, 2023). The same move is required here for the conditions of a travelling Chinese course. A Chinese-language questionnaire asked a self-selected group of respondents reporting participation in online Chinese-language courses what household, connectivity, and platform-access conditions they faced, and how those conditions sat alongside stress and appraisals of online learning. The instrument cannot show how institutions adapted. It can show the conditions against which those arrangements have to be judged. Time-zone difference and the absence of a Chinese-speaking environment were not measured, so they are left aside. Respondents are not treated as students who had returned home or who were unable to re-enter campus. Those were common emergency-period situations; they are not established facts in this dataset.</w:t>
      </w:r>
    </w:p>
    <w:p>
      <w:pPr>
        <w:pStyle w:val="BodyText"/>
      </w:pPr>
      <w:r>
        <w:t xml:space="preserve">Thirty-eight complete responses were collected during emergency remote teaching. Thirty-seven respondents selected Pakistani nationality. Nationality is the only Pakistan connection in the dataset. Residence, recruitment pathway, institutional affiliation, program status, and physical location were not verified. Literature on Pakistani educational mobility and university e-learning is used only as background for that reported nationality (Butt &amp; Sadaf, 2026; Jamil &amp; Muschert, 2023; Raza &amp; Hennessy, 2025; Tu, 2026). The group is not a verified campus population (Gao &amp; Hua, 2021; Gong et al., 2020a). The article does not ask whether later hybrid practice has closed the gap. It asks whether the delivery problem is visible as learner-side conditions in this sample:</w:t>
      </w:r>
    </w:p>
    <w:p>
      <w:pPr>
        <w:numPr>
          <w:ilvl w:val="0"/>
          <w:numId w:val="1001"/>
        </w:numPr>
        <w:pStyle w:val="Compact"/>
      </w:pPr>
      <w:r>
        <w:rPr>
          <w:bCs/>
          <w:b/>
        </w:rPr>
        <w:t xml:space="preserve">RQ1.</w:t>
      </w:r>
      <w:r>
        <w:t xml:space="preserve"> </w:t>
      </w:r>
      <w:r>
        <w:t xml:space="preserve">What household, connectivity, and platform-access conditions did respondents report?</w:t>
      </w:r>
    </w:p>
    <w:p>
      <w:pPr>
        <w:numPr>
          <w:ilvl w:val="0"/>
          <w:numId w:val="1001"/>
        </w:numPr>
        <w:pStyle w:val="Compact"/>
      </w:pPr>
      <w:r>
        <w:rPr>
          <w:bCs/>
          <w:b/>
        </w:rPr>
        <w:t xml:space="preserve">RQ2.</w:t>
      </w:r>
      <w:r>
        <w:t xml:space="preserve"> </w:t>
      </w:r>
      <w:r>
        <w:t xml:space="preserve">In this sample, how were reported household and connectivity conditions associated with selecting</w:t>
      </w:r>
      <w:r>
        <w:t xml:space="preserve"> </w:t>
      </w:r>
      <w:r>
        <w:t xml:space="preserve">“</w:t>
      </w:r>
      <w:r>
        <w:t xml:space="preserve">very high stress</w:t>
      </w:r>
      <w:r>
        <w:t xml:space="preserve">”</w:t>
      </w:r>
      <w:r>
        <w:t xml:space="preserve"> </w:t>
      </w:r>
      <w:r>
        <w:t xml:space="preserve">and with respondents’ appraisals of online learning?</w:t>
      </w:r>
    </w:p>
    <w:p>
      <w:pPr>
        <w:numPr>
          <w:ilvl w:val="0"/>
          <w:numId w:val="1001"/>
        </w:numPr>
        <w:pStyle w:val="Compact"/>
      </w:pPr>
      <w:r>
        <w:rPr>
          <w:bCs/>
          <w:b/>
        </w:rPr>
        <w:t xml:space="preserve">RQ3.</w:t>
      </w:r>
      <w:r>
        <w:t xml:space="preserve"> </w:t>
      </w:r>
      <w:r>
        <w:t xml:space="preserve">How did respondents judge whether online Chinese-language courses could replace campus-based classes?</w:t>
      </w:r>
    </w:p>
    <w:p>
      <w:pPr>
        <w:pStyle w:val="FirstParagraph"/>
      </w:pPr>
      <w:r>
        <w:t xml:space="preserve">Counts are used descriptively. Associations are exploratory and are not read as confirmatory tests of population-level relationships. Section 2 locates the study and sets out the four-layer reading of localization. Section 3 reports the methods. Section 4 addresses RQ1–RQ3 in turn. Sections 5–8 discuss the findings, set out pedagogical implications, and state the limits of the answer.</w:t>
      </w:r>
    </w:p>
    <w:bookmarkEnd w:id="22"/>
    <w:bookmarkStart w:id="28" w:name="Xa71efe292272ba0d775f88aaa92c3e49c1e1383"/>
    <w:p>
      <w:pPr>
        <w:pStyle w:val="Heading2"/>
      </w:pPr>
      <w:r>
        <w:t xml:space="preserve">2. Literature review and conceptual framework</w:t>
      </w:r>
    </w:p>
    <w:bookmarkStart w:id="23" w:name="later-lenses-on-online-chinese-teaching"/>
    <w:p>
      <w:pPr>
        <w:pStyle w:val="Heading3"/>
      </w:pPr>
      <w:r>
        <w:t xml:space="preserve">2.1 Later lenses on online Chinese teaching</w:t>
      </w:r>
    </w:p>
    <w:p>
      <w:pPr>
        <w:pStyle w:val="FirstParagraph"/>
      </w:pPr>
      <w:r>
        <w:t xml:space="preserve">Hodges et al. (2020) distinguished emergency remote teaching from planned online provision. Gacs, Goertler, and Spasova (2020) brought that distinction into language education. Language-teacher surveys from the same period describe heavier workloads and uneven preparedness (Moser et al., 2021). Tao and Gao (2022) read the wider literature as a story of technical disruption and thinner engagement. In this journal, Russell (2020) treats language anxiety as a condition of the online learner, and Lomicka (2020) treats interaction as a problem of virtual community rather than of a copied campus hour. That work locates the moment in which the present questionnaire was completed. It is not a substitute for the stress reports in this sample.</w:t>
      </w:r>
    </w:p>
    <w:p>
      <w:pPr>
        <w:pStyle w:val="BodyText"/>
      </w:pPr>
      <w:r>
        <w:t xml:space="preserve">The later literature is the reading lens. After the return to campus, studies of technological normalization asked what should remain of emergency online practice (Moorhouse, 2023) and cautioned against treating a videoconference copy of the classroom as the lesson of the crisis (Stockwell &amp; Wang, 2023). For Chinese, contemporaneous policy writing recorded</w:t>
      </w:r>
      <w:r>
        <w:t xml:space="preserve"> </w:t>
      </w:r>
      <w:r>
        <w:t xml:space="preserve">“</w:t>
      </w:r>
      <w:r>
        <w:t xml:space="preserve">suspending classes without stopping learning</w:t>
      </w:r>
      <w:r>
        <w:t xml:space="preserve">”</w:t>
      </w:r>
      <w:r>
        <w:t xml:space="preserve"> </w:t>
      </w:r>
      <w:r>
        <w:t xml:space="preserve">(Zhang et al., 2020). Xu et al. (2022) show how character teaching was adapted on the sending side. Jin et al. (2023) report faculty perceptions of pandemic online teaching. Zhang and Liu (2023) examine online collaborative writing among Chinese-language learners in designed conditions. Later reviews still say more about tools than about household access, and they still flag digital equity as under-examined (Li &amp; Li, 2024; Xu, 2024; Zhang &amp; Osborne, 2026). Designed online Chinese-culture courses show a planned alternative to emergency copying (Guenier et al., 2026). Qi (2025) shows that an online Chinese class can itself become an anxiety-provoking setting. Those studies do not describe the present respondents. Much of that writing still assumes a relatively stable connection. The present questionnaire cannot test whether that assumption holds for current hybrid ICLE. It can show what 38 respondents reported when a travelling course asked them to join.</w:t>
      </w:r>
    </w:p>
    <w:bookmarkEnd w:id="23"/>
    <w:bookmarkStart w:id="24" w:name="X8fd0326383b50249221392c76a6b8ab8b037526"/>
    <w:p>
      <w:pPr>
        <w:pStyle w:val="Heading3"/>
      </w:pPr>
      <w:r>
        <w:t xml:space="preserve">2.2 Digital inequality and the home learning ecology</w:t>
      </w:r>
    </w:p>
    <w:p>
      <w:pPr>
        <w:pStyle w:val="FirstParagraph"/>
      </w:pPr>
      <w:r>
        <w:t xml:space="preserve">Later models of the digital divide distinguish material access from skills, usage, and outcomes (Helsper, 2021; van Dijk, 2020; Warschauer, 2003). Owning a device is not the same as being able to take part (Ali, 2020; Beaunoyer et al., 2020; Guo &amp; Wan, 2022; Vishnu et al., 2024). Work on Pakistani university e-learning reports uneven access, skills, electricity, and household device sharing (Butt &amp; Sadaf, 2026; Jamil &amp; Muschert, 2023; Raza &amp; Hennessy, 2025). The last of those sources is a grey-literature report. None of them is evidence about the 38 respondents here; they are background only for the nationality most of them reported.</w:t>
      </w:r>
    </w:p>
    <w:p>
      <w:pPr>
        <w:pStyle w:val="BodyText"/>
      </w:pPr>
      <w:r>
        <w:t xml:space="preserve">An ecological view of language education takes the setting of the class, not only the student and the application, as the unit of analysis (Guerrettaz et al., 2021; van Lier, 2004). Domestic space, paid or care work, power interruptions, and applications marked unusable are therefore read as elements of respondents’ immediate learning ecologies. They are material facts, not cultural traits.</w:t>
      </w:r>
    </w:p>
    <w:bookmarkEnd w:id="24"/>
    <w:bookmarkStart w:id="26" w:name="localization-of-delivery"/>
    <w:p>
      <w:pPr>
        <w:pStyle w:val="Heading3"/>
      </w:pPr>
      <w:r>
        <w:t xml:space="preserve">2.3 Localization of delivery</w:t>
      </w:r>
    </w:p>
    <w:p>
      <w:pPr>
        <w:pStyle w:val="FirstParagraph"/>
      </w:pPr>
      <w:r>
        <w:t xml:space="preserve">In materials work, localization has usually meant personalizing content so that it speaks to a particular group (McDonough &amp; Shaw, 2003; Tomlinson, 2011). Canagarajah (2005) and Kumaravadivelu (2001) locate pedagogy in a specific group and place. ICLE research has applied localization mainly to curriculum construction and textbook adaptation (Lu et al., 2024; Zhao, 2020; Zhao &amp; Huang, 2010). Guerrettaz et al. (2021) push materials off the page and into use. If that move is taken seriously, localization also has to ask whether learners can reach and take part in the class as it is delivered.</w:t>
      </w:r>
    </w:p>
    <w:bookmarkStart w:id="25" w:name="four-layers-of-localization"/>
    <w:p>
      <w:pPr>
        <w:pStyle w:val="Heading4"/>
      </w:pPr>
      <w:r>
        <w:t xml:space="preserve">2.3.1 Four layers of localization</w:t>
      </w:r>
    </w:p>
    <w:p>
      <w:pPr>
        <w:pStyle w:val="FirstParagraph"/>
      </w:pPr>
      <w:r>
        <w:t xml:space="preserve">The following four layers are the proposed framework for reading the present data. They are a conceptual distinction, not a tested path:</w:t>
      </w:r>
    </w:p>
    <w:p>
      <w:pPr>
        <w:numPr>
          <w:ilvl w:val="0"/>
          <w:numId w:val="1002"/>
        </w:numPr>
        <w:pStyle w:val="Compact"/>
      </w:pPr>
      <w:r>
        <w:t xml:space="preserve">Localization of</w:t>
      </w:r>
      <w:r>
        <w:t xml:space="preserve"> </w:t>
      </w:r>
      <w:r>
        <w:rPr>
          <w:iCs/>
          <w:i/>
        </w:rPr>
        <w:t xml:space="preserve">content</w:t>
      </w:r>
      <w:r>
        <w:t xml:space="preserve">: examples, festivals, and cultural comparison.</w:t>
      </w:r>
    </w:p>
    <w:p>
      <w:pPr>
        <w:numPr>
          <w:ilvl w:val="0"/>
          <w:numId w:val="1002"/>
        </w:numPr>
        <w:pStyle w:val="Compact"/>
      </w:pPr>
      <w:r>
        <w:t xml:space="preserve">Localization of</w:t>
      </w:r>
      <w:r>
        <w:t xml:space="preserve"> </w:t>
      </w:r>
      <w:r>
        <w:rPr>
          <w:iCs/>
          <w:i/>
        </w:rPr>
        <w:t xml:space="preserve">materials</w:t>
      </w:r>
      <w:r>
        <w:t xml:space="preserve">: annotation, mediation language, and page redesign.</w:t>
      </w:r>
    </w:p>
    <w:p>
      <w:pPr>
        <w:numPr>
          <w:ilvl w:val="0"/>
          <w:numId w:val="1002"/>
        </w:numPr>
        <w:pStyle w:val="Compact"/>
      </w:pPr>
      <w:r>
        <w:t xml:space="preserve">Localization of</w:t>
      </w:r>
      <w:r>
        <w:t xml:space="preserve"> </w:t>
      </w:r>
      <w:r>
        <w:rPr>
          <w:iCs/>
          <w:i/>
        </w:rPr>
        <w:t xml:space="preserve">curriculum</w:t>
      </w:r>
      <w:r>
        <w:t xml:space="preserve">: pathway, hours, and assessment of a named program (Shan &amp; Xu, 2024; Zhao, 2020).</w:t>
      </w:r>
    </w:p>
    <w:p>
      <w:pPr>
        <w:numPr>
          <w:ilvl w:val="0"/>
          <w:numId w:val="1002"/>
        </w:numPr>
        <w:pStyle w:val="Compact"/>
      </w:pPr>
      <w:r>
        <w:t xml:space="preserve">Localization of</w:t>
      </w:r>
      <w:r>
        <w:t xml:space="preserve"> </w:t>
      </w:r>
      <w:r>
        <w:rPr>
          <w:iCs/>
          <w:i/>
        </w:rPr>
        <w:t xml:space="preserve">delivery</w:t>
      </w:r>
      <w:r>
        <w:t xml:space="preserve">: institutional adaptation of time, platform, task, participation mode, and assessment to the receiving context.</w:t>
      </w:r>
    </w:p>
    <w:p>
      <w:pPr>
        <w:pStyle w:val="FirstParagraph"/>
      </w:pPr>
      <w:r>
        <w:t xml:space="preserve">This analysis is concerned with the fourth. Localization of delivery does not replace accessibility or digital inclusion. It names the institutional decisions through which access is made possible or closed off when a course moves. The questionnaire did not observe those institutional decisions. It recorded the learner-side conditions against which such decisions would have to be judged. The claim is therefore conceptual rather than institutional: a course may be locally relevant in content but inaccessible in delivery. It is localized in delivery only when its required time, platform, participation mode, task design, and assessment are feasible where learners actually take part.</w:t>
      </w:r>
    </w:p>
    <w:p>
      <w:pPr>
        <w:pStyle w:val="BodyText"/>
      </w:pPr>
      <w:r>
        <w:t xml:space="preserve">Gong et al. (2020b) map ICLE in mainland China for 2014–2018 and are used here as a pre-pandemic field sketch. Gao and Hua (2021) and Gong et al. (2020a) write about international students of Chinese</w:t>
      </w:r>
      <w:r>
        <w:t xml:space="preserve"> </w:t>
      </w:r>
      <w:r>
        <w:rPr>
          <w:iCs/>
          <w:i/>
        </w:rPr>
        <w:t xml:space="preserve">in</w:t>
      </w:r>
      <w:r>
        <w:t xml:space="preserve"> </w:t>
      </w:r>
      <w:r>
        <w:t xml:space="preserve">Chinese universities. Guenier, Xing, and Yan (2026) describe a designed online Chinese-culture course. The present respondents completed a Chinese-language questionnaire about online Chinese classes. They are not treated as a Confucius Institute classroom sample, and enrollment in a named Chinese university was not independently verified.</w:t>
      </w:r>
    </w:p>
    <w:bookmarkEnd w:id="25"/>
    <w:bookmarkEnd w:id="26"/>
    <w:bookmarkStart w:id="27" w:name="conceptual-model"/>
    <w:p>
      <w:pPr>
        <w:pStyle w:val="Heading3"/>
      </w:pPr>
      <w:r>
        <w:t xml:space="preserve">2.4 Conceptual model</w:t>
      </w:r>
    </w:p>
    <w:p>
      <w:pPr>
        <w:pStyle w:val="FirstParagraph"/>
      </w:pPr>
      <w:r>
        <w:t xml:space="preserve">Figure 1 is offered as a reading model, not as a tested path. Household infrastructure and reported platform access are concurrent conditions of a travelling course and are interpreted as possible constraints on participation. Language investment is not part of the model.</w:t>
      </w:r>
    </w:p>
    <w:p>
      <w:pPr>
        <w:pStyle w:val="BodyText"/>
      </w:pPr>
      <w:r>
        <w:t xml:space="preserve">Figure 1. Localization of delivery as delivery-context fit (reading model). Household infrastructure (power interruptions, network stability, speed) and reported platform access are concurrent conditions. They are interpreted as possible constraints on participation and on self-reported stress, interaction, appraisal, and replacement judgments. The figure is not a causal path.</w:t>
      </w:r>
    </w:p>
    <w:bookmarkEnd w:id="27"/>
    <w:bookmarkEnd w:id="28"/>
    <w:bookmarkStart w:id="34" w:name="methods"/>
    <w:p>
      <w:pPr>
        <w:pStyle w:val="Heading2"/>
      </w:pPr>
      <w:r>
        <w:t xml:space="preserve">3. Methods</w:t>
      </w:r>
    </w:p>
    <w:p>
      <w:pPr>
        <w:pStyle w:val="FirstParagraph"/>
      </w:pPr>
      <w:r>
        <w:t xml:space="preserve">The study is an exploratory, cross-sectional questionnaire. It does not test a pre-registered confirmatory model. What follows describes the instrument, the self-selected group who completed it, and the limits of what the questionnaire can support.</w:t>
      </w:r>
    </w:p>
    <w:bookmarkStart w:id="29" w:name="design-and-context"/>
    <w:p>
      <w:pPr>
        <w:pStyle w:val="Heading3"/>
      </w:pPr>
      <w:r>
        <w:t xml:space="preserve">3.1 Design and context</w:t>
      </w:r>
    </w:p>
    <w:p>
      <w:pPr>
        <w:pStyle w:val="FirstParagraph"/>
      </w:pPr>
      <w:r>
        <w:t xml:space="preserve">The instrument title on the Wenjuan export is 新冠肺炎期间留学生在线中文学习的影响因素 (Influencing factors in international students’ online Chinese learning during COVID-19). The items are those on that retained form. No separate validation study or recorded pilot of the instrument is available. This article is a secondary analysis of the completed file. Complete cases were submitted between 5 and 8 February 2022 (N = 38), during emergency remote teaching. That collection window is a methodological fact; the article does not treat the sample as a picture of current hybrid practice. The form did not record how the link was circulated, so the recruitment channel cannot be named. Respondents were adults who completed the Chinese-language questionnaire about online Chinese learning. Completing that questionnaire is not treated as proof of enrollment in a Chinese university. The instrument did not ask host university, city of residence that week, degree versus non-degree status, or scholarship type. Two items asked whether required courses and electives were being taken online: 27 respondents (71.1%) reported required courses online, and 23 (60.5%) reported electives online. Those answers do not identify a named program. The study therefore concerns a self-selected group of respondents reporting participation in online Chinese-language courses, not a verified enrollment record.</w:t>
      </w:r>
    </w:p>
    <w:bookmarkEnd w:id="29"/>
    <w:bookmarkStart w:id="30" w:name="participants"/>
    <w:p>
      <w:pPr>
        <w:pStyle w:val="Heading3"/>
      </w:pPr>
      <w:r>
        <w:t xml:space="preserve">3.2 Participants</w:t>
      </w:r>
    </w:p>
    <w:p>
      <w:pPr>
        <w:pStyle w:val="FirstParagraph"/>
      </w:pPr>
      <w:r>
        <w:t xml:space="preserve">Of the 38 respondents, 27 were men (71.1%) and 11 were women (28.9%). Thirty-seven selected Pakistani nationality and one selected another nationality. That nationality item is the only Pakistan connection in the dataset. The group is not described as verified Chinese-university enrollment, as Pakistan-resident learners, as CSC students, or as a national sample. Self-rated Chinese level was mostly advanced (22, 57.9%) or intermediate (15, 39.5%), with one beginner; the label is the student’s own, not an HSK band. Years of learning Chinese clustered at three to four years (26, 68.4%). Wenjuan submission metadata classified the operating system as iPhone (24, 63.2%) or Android (14). That variable is the device used to submit the form, not an item about all devices used for class.</w:t>
      </w:r>
    </w:p>
    <w:p>
      <w:pPr>
        <w:pStyle w:val="BodyText"/>
      </w:pPr>
      <w:r>
        <w:t xml:space="preserve">Wenjuan automatically recorded an IP-province field. A dummy was coded when that field was a mainland China province name (9 of 38). IP labels are technical metadata. They can be affected by virtual private networks and proxies, and they are not a reliable measure of physical location. They are not used as a participant-location variable and are not the basis of a sensitivity analysis. The dummy, submission dates, and device identifiers are not included in the public dataset.</w:t>
      </w:r>
    </w:p>
    <w:bookmarkEnd w:id="30"/>
    <w:bookmarkStart w:id="31" w:name="instrument-and-coding"/>
    <w:p>
      <w:pPr>
        <w:pStyle w:val="Heading3"/>
      </w:pPr>
      <w:r>
        <w:t xml:space="preserve">3.3 Instrument and coding</w:t>
      </w:r>
    </w:p>
    <w:p>
      <w:pPr>
        <w:pStyle w:val="FirstParagraph"/>
      </w:pPr>
      <w:r>
        <w:t xml:space="preserve">The questionnaire comprised about 30 items: demographics, single-choice ordinals, and multiple-response lists. Stems are in Chinese, with some non-native wording (for example 您尝尝用什么平台). English glosses are used for reporting. Self-rated Chinese level was intermediate or advanced for 37 of 38 respondents. The instrument did not include a comprehension check, so completion of the Chinese-language questionnaire is treated only as evidence that respondents were willing to answer in Chinese. Item wording for the appraisal index is given in Appendix A.</w:t>
      </w:r>
    </w:p>
    <w:p>
      <w:pPr>
        <w:pStyle w:val="BodyText"/>
      </w:pPr>
      <w:r>
        <w:t xml:space="preserve">A three-item</w:t>
      </w:r>
      <w:r>
        <w:t xml:space="preserve"> </w:t>
      </w:r>
      <w:r>
        <w:rPr>
          <w:iCs/>
          <w:i/>
        </w:rPr>
        <w:t xml:space="preserve">perceived online-learning appraisal index</w:t>
      </w:r>
      <w:r>
        <w:t xml:space="preserve"> </w:t>
      </w:r>
      <w:r>
        <w:t xml:space="preserve">was formed from learned much (Q8), improves Chinese (Q9), and sparks interest (Q10). The items ask related but not identical questions and are treated as a descriptive index, not as a validated unidimensional scale. Internal consistency was acceptable in this sample (Cronbach’s α = .84); Spearman inter-item correlations ranged from .55 to .75 (Appendix B). Exploratory factor analysis was not used (N = 38). Individual items are also reported. One double-tick on</w:t>
      </w:r>
      <w:r>
        <w:t xml:space="preserve"> </w:t>
      </w:r>
      <w:r>
        <w:t xml:space="preserve">“</w:t>
      </w:r>
      <w:r>
        <w:t xml:space="preserve">like online classes</w:t>
      </w:r>
      <w:r>
        <w:t xml:space="preserve">”</w:t>
      </w:r>
      <w:r>
        <w:t xml:space="preserve"> </w:t>
      </w:r>
      <w:r>
        <w:t xml:space="preserve">was excluded for that item only (n = 37 valid).</w:t>
      </w:r>
    </w:p>
    <w:p>
      <w:pPr>
        <w:pStyle w:val="BodyText"/>
      </w:pPr>
      <w:r>
        <w:t xml:space="preserve">Coding follows the Wenjuan export. Higher values on speed, learned, improve, interest, and teacher interaction indicate a more negative report (worse speed; less learning, improvement, or interest; thinner interaction). Stress (Q24) is a four-category questionnaire item coded 1 = very high to 4 = none.</w:t>
      </w:r>
      <w:r>
        <w:t xml:space="preserve"> </w:t>
      </w:r>
      <w:r>
        <w:rPr>
          <w:iCs/>
          <w:i/>
        </w:rPr>
        <w:t xml:space="preserve">Very high stress</w:t>
      </w:r>
      <w:r>
        <w:t xml:space="preserve"> </w:t>
      </w:r>
      <w:r>
        <w:t xml:space="preserve">is that first category (非常高), not an analyst-created threshold or a cut on a multi-item scale. The focal stress analysis uses a dummy for this category and does not reverse the ordinal. Full coding directions are in Table A1.</w:t>
      </w:r>
    </w:p>
    <w:p>
      <w:pPr>
        <w:pStyle w:val="BodyText"/>
      </w:pPr>
      <w:r>
        <w:t xml:space="preserve">The export labeled one multiple-response problem as</w:t>
      </w:r>
      <w:r>
        <w:t xml:space="preserve"> </w:t>
      </w:r>
      <w:r>
        <w:t xml:space="preserve">“</w:t>
      </w:r>
      <w:r>
        <w:t xml:space="preserve">no electricity.</w:t>
      </w:r>
      <w:r>
        <w:t xml:space="preserve">”</w:t>
      </w:r>
      <w:r>
        <w:t xml:space="preserve"> </w:t>
      </w:r>
      <w:r>
        <w:t xml:space="preserve">References to load-shedding elsewhere in the article are contextual. In the results the item is reported as</w:t>
      </w:r>
      <w:r>
        <w:t xml:space="preserve"> </w:t>
      </w:r>
      <w:r>
        <w:rPr>
          <w:iCs/>
          <w:i/>
        </w:rPr>
        <w:t xml:space="preserve">power interruptions</w:t>
      </w:r>
      <w:r>
        <w:t xml:space="preserve"> </w:t>
      </w:r>
      <w:r>
        <w:t xml:space="preserve">(export label: no electricity).</w:t>
      </w:r>
      <w:r>
        <w:t xml:space="preserve"> </w:t>
      </w:r>
      <w:r>
        <w:t xml:space="preserve">“</w:t>
      </w:r>
      <w:r>
        <w:t xml:space="preserve">中国慕课</w:t>
      </w:r>
      <w:r>
        <w:t xml:space="preserve">”</w:t>
      </w:r>
      <w:r>
        <w:t xml:space="preserve"> </w:t>
      </w:r>
      <w:r>
        <w:t xml:space="preserve">is reported as printed on the form; the option did not name a single provider such as 中国大学MOOC.</w:t>
      </w:r>
    </w:p>
    <w:bookmarkEnd w:id="31"/>
    <w:bookmarkStart w:id="32" w:name="analysis"/>
    <w:p>
      <w:pPr>
        <w:pStyle w:val="Heading3"/>
      </w:pPr>
      <w:r>
        <w:t xml:space="preserve">3.4 Analysis</w:t>
      </w:r>
    </w:p>
    <w:p>
      <w:pPr>
        <w:pStyle w:val="FirstParagraph"/>
      </w:pPr>
      <w:r>
        <w:t xml:space="preserve">The analyses are mapped to the research questions. RQ1 is addressed with descriptive frequencies (Tables 1–3). RQ2 is addressed with two focal associations: home affects study very much × very high stress (two-sided Fisher’s exact</w:t>
      </w:r>
      <w:r>
        <w:t xml:space="preserve"> </w:t>
      </w:r>
      <w:r>
        <w:rPr>
          <w:iCs/>
          <w:i/>
        </w:rPr>
        <w:t xml:space="preserve">p</w:t>
      </w:r>
      <w:r>
        <w:t xml:space="preserve">; SciPy</w:t>
      </w:r>
      <w:r>
        <w:t xml:space="preserve"> </w:t>
      </w:r>
      <w:r>
        <w:rPr>
          <w:rStyle w:val="VerbatimChar"/>
        </w:rPr>
        <w:t xml:space="preserve">fisher_exact</w:t>
      </w:r>
      <w:r>
        <w:t xml:space="preserve">) and internet speed × the appraisal index (Spearman’s ρ with a percentile bootstrap 95% confidence interval from 5,000 resamples). RQ3 is addressed with frequencies of the replacement judgment. Odds ratios and Wald confidence intervals are not reported: at N = 38 they are unstable. Other associations, including gender, are secondary and are placed in Appendix B. Frequencies are n/38 unless noted. Multiple-response items are the percentage who selected the option.</w:t>
      </w:r>
      <w:r>
        <w:t xml:space="preserve"> </w:t>
      </w:r>
      <w:r>
        <w:rPr>
          <w:iCs/>
          <w:i/>
        </w:rPr>
        <w:t xml:space="preserve">p</w:t>
      </w:r>
      <w:r>
        <w:t xml:space="preserve"> </w:t>
      </w:r>
      <w:r>
        <w:t xml:space="preserve">values are not adjusted for multiplicity and are not interpreted as confirmatory.</w:t>
      </w:r>
    </w:p>
    <w:p>
      <w:pPr>
        <w:pStyle w:val="BodyText"/>
      </w:pPr>
      <w:r>
        <w:t xml:space="preserve">A Pakistani-nationality check (n = 37) is reported only to show that dropping the one non-Pakistani case does not reverse the two focal associations. It is not a location analysis.</w:t>
      </w:r>
    </w:p>
    <w:bookmarkEnd w:id="32"/>
    <w:bookmarkStart w:id="33" w:name="ethics-and-data-protection"/>
    <w:p>
      <w:pPr>
        <w:pStyle w:val="Heading3"/>
      </w:pPr>
      <w:r>
        <w:t xml:space="preserve">3.5 Ethics and data protection</w:t>
      </w:r>
    </w:p>
    <w:p>
      <w:pPr>
        <w:pStyle w:val="FirstParagraph"/>
      </w:pPr>
      <w:r>
        <w:t xml:space="preserve">Adult respondents completed an online form presented as research on online Chinese learning. The form stated that answers would be used for research, and completion and submission were treated as consent.</w:t>
      </w:r>
    </w:p>
    <w:p>
      <w:pPr>
        <w:pStyle w:val="BodyText"/>
      </w:pPr>
      <w:r>
        <w:t xml:space="preserve">No institutional ethics approval number is available for the original 2022 data collection. The first author was then an M.Phil. student, and numbered approval was not obtained. This article reports an anonymized secondary analysis of that file. No new data were collected. Names, IP addresses, exact timestamps, and device identifiers were removed before the public file was prepared.</w:t>
      </w:r>
    </w:p>
    <w:bookmarkEnd w:id="33"/>
    <w:bookmarkEnd w:id="34"/>
    <w:bookmarkStart w:id="39" w:name="results"/>
    <w:p>
      <w:pPr>
        <w:pStyle w:val="Heading2"/>
      </w:pPr>
      <w:r>
        <w:t xml:space="preserve">4. Results</w:t>
      </w:r>
    </w:p>
    <w:bookmarkStart w:id="35" w:name="Xc19e6556867f37cf5943d55d08f36cc3acc822b"/>
    <w:p>
      <w:pPr>
        <w:pStyle w:val="Heading3"/>
      </w:pPr>
      <w:r>
        <w:t xml:space="preserve">4.1 Addressing RQ1: respondents and household conditions</w:t>
      </w:r>
    </w:p>
    <w:p>
      <w:pPr>
        <w:pStyle w:val="FirstParagraph"/>
      </w:pPr>
      <w:r>
        <w:t xml:space="preserve">Table 1 locates the sample. Most respondents said all of their Chinese classes were online, and more than half reported working alongside study.</w:t>
      </w:r>
    </w:p>
    <w:p>
      <w:pPr>
        <w:pStyle w:val="BodyText"/>
      </w:pPr>
      <w:r>
        <w:rPr>
          <w:bCs/>
          <w:b/>
        </w:rPr>
        <w:t xml:space="preserve">Table 1</w:t>
      </w:r>
    </w:p>
    <w:p>
      <w:pPr>
        <w:pStyle w:val="BodyText"/>
      </w:pPr>
      <w:r>
        <w:rPr>
          <w:iCs/>
          <w:i/>
        </w:rPr>
        <w:t xml:space="preserve">Respondents (N = 38)</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Variable</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Male</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Female</w:t>
            </w:r>
          </w:p>
        </w:tc>
        <w:tc>
          <w:tcPr/>
          <w:p>
            <w:pPr>
              <w:pStyle w:val="Compact"/>
              <w:jc w:val="right"/>
            </w:pPr>
            <w:r>
              <w:t xml:space="preserve">11</w:t>
            </w:r>
          </w:p>
        </w:tc>
        <w:tc>
          <w:tcPr/>
          <w:p>
            <w:pPr>
              <w:pStyle w:val="Compact"/>
              <w:jc w:val="right"/>
            </w:pPr>
            <w:r>
              <w:t xml:space="preserve">28.9</w:t>
            </w:r>
          </w:p>
        </w:tc>
      </w:tr>
      <w:tr>
        <w:tc>
          <w:tcPr/>
          <w:p>
            <w:pPr>
              <w:pStyle w:val="Compact"/>
              <w:jc w:val="left"/>
            </w:pPr>
            <w:r>
              <w:t xml:space="preserve">Pakistani nationality</w:t>
            </w:r>
          </w:p>
        </w:tc>
        <w:tc>
          <w:tcPr/>
          <w:p>
            <w:pPr>
              <w:pStyle w:val="Compact"/>
              <w:jc w:val="right"/>
            </w:pPr>
            <w:r>
              <w:t xml:space="preserve">37</w:t>
            </w:r>
          </w:p>
        </w:tc>
        <w:tc>
          <w:tcPr/>
          <w:p>
            <w:pPr>
              <w:pStyle w:val="Compact"/>
              <w:jc w:val="right"/>
            </w:pPr>
            <w:r>
              <w:t xml:space="preserve">97.4</w:t>
            </w:r>
          </w:p>
        </w:tc>
      </w:tr>
      <w:tr>
        <w:tc>
          <w:tcPr/>
          <w:p>
            <w:pPr>
              <w:pStyle w:val="Compact"/>
              <w:jc w:val="left"/>
            </w:pPr>
            <w:r>
              <w:t xml:space="preserve">Other</w:t>
            </w:r>
          </w:p>
        </w:tc>
        <w:tc>
          <w:tcPr/>
          <w:p>
            <w:pPr>
              <w:pStyle w:val="Compact"/>
              <w:jc w:val="right"/>
            </w:pPr>
            <w:r>
              <w:t xml:space="preserve">1</w:t>
            </w:r>
          </w:p>
        </w:tc>
        <w:tc>
          <w:tcPr/>
          <w:p>
            <w:pPr>
              <w:pStyle w:val="Compact"/>
              <w:jc w:val="right"/>
            </w:pPr>
            <w:r>
              <w:t xml:space="preserve">2.6</w:t>
            </w:r>
          </w:p>
        </w:tc>
      </w:tr>
      <w:tr>
        <w:tc>
          <w:tcPr/>
          <w:p>
            <w:pPr>
              <w:pStyle w:val="Compact"/>
              <w:jc w:val="left"/>
            </w:pPr>
            <w:r>
              <w:t xml:space="preserve">Beginner / intermediate / advanced Chinese (self-rating)</w:t>
            </w:r>
          </w:p>
        </w:tc>
        <w:tc>
          <w:tcPr/>
          <w:p>
            <w:pPr>
              <w:pStyle w:val="Compact"/>
              <w:jc w:val="right"/>
            </w:pPr>
            <w:r>
              <w:t xml:space="preserve">1 / 15 / 22</w:t>
            </w:r>
          </w:p>
        </w:tc>
        <w:tc>
          <w:tcPr/>
          <w:p>
            <w:pPr>
              <w:pStyle w:val="Compact"/>
              <w:jc w:val="right"/>
            </w:pPr>
            <w:r>
              <w:t xml:space="preserve">2.6 / 39.5 / 57.9</w:t>
            </w:r>
          </w:p>
        </w:tc>
      </w:tr>
      <w:tr>
        <w:tc>
          <w:tcPr/>
          <w:p>
            <w:pPr>
              <w:pStyle w:val="Compact"/>
              <w:jc w:val="left"/>
            </w:pPr>
            <w:r>
              <w:t xml:space="preserve">Years of Chinese: 1 to 2 / 3 to 4 / 5 to 6 / 6+</w:t>
            </w:r>
          </w:p>
        </w:tc>
        <w:tc>
          <w:tcPr/>
          <w:p>
            <w:pPr>
              <w:pStyle w:val="Compact"/>
              <w:jc w:val="right"/>
            </w:pPr>
            <w:r>
              <w:t xml:space="preserve">3 / 26 / 8 / 1</w:t>
            </w:r>
          </w:p>
        </w:tc>
        <w:tc>
          <w:tcPr/>
          <w:p>
            <w:pPr>
              <w:pStyle w:val="Compact"/>
              <w:jc w:val="right"/>
            </w:pPr>
            <w:r>
              <w:t xml:space="preserve">7.9 / 68.4 / 21.1 / 2.6</w:t>
            </w:r>
          </w:p>
        </w:tc>
      </w:tr>
      <w:tr>
        <w:tc>
          <w:tcPr/>
          <w:p>
            <w:pPr>
              <w:pStyle w:val="Compact"/>
              <w:jc w:val="left"/>
            </w:pPr>
            <w:r>
              <w:t xml:space="preserve">All Chinese classes online</w:t>
            </w:r>
          </w:p>
        </w:tc>
        <w:tc>
          <w:tcPr/>
          <w:p>
            <w:pPr>
              <w:pStyle w:val="Compact"/>
              <w:jc w:val="right"/>
            </w:pPr>
            <w:r>
              <w:t xml:space="preserve">30</w:t>
            </w:r>
          </w:p>
        </w:tc>
        <w:tc>
          <w:tcPr/>
          <w:p>
            <w:pPr>
              <w:pStyle w:val="Compact"/>
              <w:jc w:val="right"/>
            </w:pPr>
            <w:r>
              <w:t xml:space="preserve">78.9</w:t>
            </w:r>
          </w:p>
        </w:tc>
      </w:tr>
      <w:tr>
        <w:tc>
          <w:tcPr/>
          <w:p>
            <w:pPr>
              <w:pStyle w:val="Compact"/>
              <w:jc w:val="left"/>
            </w:pPr>
            <w:r>
              <w:t xml:space="preserve">Working while studying</w:t>
            </w:r>
          </w:p>
        </w:tc>
        <w:tc>
          <w:tcPr/>
          <w:p>
            <w:pPr>
              <w:pStyle w:val="Compact"/>
              <w:jc w:val="right"/>
            </w:pPr>
            <w:r>
              <w:t xml:space="preserve">22</w:t>
            </w:r>
          </w:p>
        </w:tc>
        <w:tc>
          <w:tcPr/>
          <w:p>
            <w:pPr>
              <w:pStyle w:val="Compact"/>
              <w:jc w:val="right"/>
            </w:pPr>
            <w:r>
              <w:t xml:space="preserve">57.9</w:t>
            </w:r>
          </w:p>
        </w:tc>
      </w:tr>
      <w:tr>
        <w:tc>
          <w:tcPr/>
          <w:p>
            <w:pPr>
              <w:pStyle w:val="Compact"/>
              <w:jc w:val="left"/>
            </w:pPr>
            <w:r>
              <w:t xml:space="preserve">Submission device: iPhone / Android</w:t>
            </w:r>
          </w:p>
        </w:tc>
        <w:tc>
          <w:tcPr/>
          <w:p>
            <w:pPr>
              <w:pStyle w:val="Compact"/>
              <w:jc w:val="right"/>
            </w:pPr>
            <w:r>
              <w:t xml:space="preserve">24 / 14</w:t>
            </w:r>
          </w:p>
        </w:tc>
        <w:tc>
          <w:tcPr/>
          <w:p>
            <w:pPr>
              <w:pStyle w:val="Compact"/>
              <w:jc w:val="right"/>
            </w:pPr>
            <w:r>
              <w:t xml:space="preserve">63.2 / 36.8</w:t>
            </w:r>
          </w:p>
        </w:tc>
      </w:tr>
      <w:tr>
        <w:tc>
          <w:tcPr/>
          <w:p>
            <w:pPr>
              <w:pStyle w:val="Compact"/>
              <w:jc w:val="left"/>
            </w:pPr>
            <w:r>
              <w:t xml:space="preserve">Total</w:t>
            </w:r>
          </w:p>
        </w:tc>
        <w:tc>
          <w:tcPr/>
          <w:p>
            <w:pPr>
              <w:pStyle w:val="Compact"/>
              <w:jc w:val="right"/>
            </w:pPr>
            <w:r>
              <w:t xml:space="preserve">38</w:t>
            </w:r>
          </w:p>
        </w:tc>
        <w:tc>
          <w:tcPr/>
          <w:p>
            <w:pPr>
              <w:pStyle w:val="Compact"/>
              <w:jc w:val="right"/>
            </w:pPr>
            <w:r>
              <w:t xml:space="preserve">100</w:t>
            </w:r>
          </w:p>
        </w:tc>
      </w:tr>
    </w:tbl>
    <w:p>
      <w:pPr>
        <w:pStyle w:val="BodyText"/>
      </w:pPr>
      <w:r>
        <w:rPr>
          <w:iCs/>
          <w:i/>
        </w:rPr>
        <w:t xml:space="preserve">Note.</w:t>
      </w:r>
      <w:r>
        <w:t xml:space="preserve"> </w:t>
      </w:r>
      <w:r>
        <w:t xml:space="preserve">Convenience sample, Wenjuan, 5 to 8 February 2022. Device is the operating system recorded at submission, reported only as an aggregate.</w:t>
      </w:r>
    </w:p>
    <w:p>
      <w:pPr>
        <w:pStyle w:val="BodyText"/>
      </w:pPr>
      <w:r>
        <w:t xml:space="preserve">Table 2 reports the household and connectivity conditions. The key figures are unstable networks (76.3%), power interruptions (42.1%), and very high stress (36.8%). Four respondents said their country did not have internet, yet all 38 submitted an online form. The item wording does not allow a firm reinterpretation, so the response is reported as given. Only 11 of 38 described the home as quiet.</w:t>
      </w:r>
    </w:p>
    <w:p>
      <w:pPr>
        <w:pStyle w:val="BodyText"/>
      </w:pPr>
      <w:r>
        <w:rPr>
          <w:bCs/>
          <w:b/>
        </w:rPr>
        <w:t xml:space="preserve">Table 2</w:t>
      </w:r>
    </w:p>
    <w:p>
      <w:pPr>
        <w:pStyle w:val="BodyText"/>
      </w:pPr>
      <w:r>
        <w:rPr>
          <w:iCs/>
          <w:i/>
        </w:rPr>
        <w:t xml:space="preserve">Reported conditions and selected outcomes (N = 38)</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Unstable network</w:t>
            </w:r>
          </w:p>
        </w:tc>
        <w:tc>
          <w:tcPr/>
          <w:p>
            <w:pPr>
              <w:pStyle w:val="Compact"/>
              <w:jc w:val="right"/>
            </w:pPr>
            <w:r>
              <w:t xml:space="preserve">29</w:t>
            </w:r>
          </w:p>
        </w:tc>
        <w:tc>
          <w:tcPr/>
          <w:p>
            <w:pPr>
              <w:pStyle w:val="Compact"/>
              <w:jc w:val="right"/>
            </w:pPr>
            <w:r>
              <w:t xml:space="preserve">76.3</w:t>
            </w:r>
          </w:p>
        </w:tc>
      </w:tr>
      <w:tr>
        <w:tc>
          <w:tcPr/>
          <w:p>
            <w:pPr>
              <w:pStyle w:val="Compact"/>
              <w:jc w:val="left"/>
            </w:pPr>
            <w:r>
              <w:t xml:space="preserve">Power interruptions (export label: no electricity)</w:t>
            </w:r>
          </w:p>
        </w:tc>
        <w:tc>
          <w:tcPr/>
          <w:p>
            <w:pPr>
              <w:pStyle w:val="Compact"/>
              <w:jc w:val="right"/>
            </w:pPr>
            <w:r>
              <w:t xml:space="preserve">16</w:t>
            </w:r>
          </w:p>
        </w:tc>
        <w:tc>
          <w:tcPr/>
          <w:p>
            <w:pPr>
              <w:pStyle w:val="Compact"/>
              <w:jc w:val="right"/>
            </w:pPr>
            <w:r>
              <w:t xml:space="preserve">42.1</w:t>
            </w:r>
          </w:p>
        </w:tc>
      </w:tr>
      <w:tr>
        <w:tc>
          <w:tcPr/>
          <w:p>
            <w:pPr>
              <w:pStyle w:val="Compact"/>
              <w:jc w:val="left"/>
            </w:pPr>
            <w:r>
              <w:t xml:space="preserve">No signal</w:t>
            </w:r>
          </w:p>
        </w:tc>
        <w:tc>
          <w:tcPr/>
          <w:p>
            <w:pPr>
              <w:pStyle w:val="Compact"/>
              <w:jc w:val="right"/>
            </w:pPr>
            <w:r>
              <w:t xml:space="preserve">12</w:t>
            </w:r>
          </w:p>
        </w:tc>
        <w:tc>
          <w:tcPr/>
          <w:p>
            <w:pPr>
              <w:pStyle w:val="Compact"/>
              <w:jc w:val="right"/>
            </w:pPr>
            <w:r>
              <w:t xml:space="preserve">31.6</w:t>
            </w:r>
          </w:p>
        </w:tc>
      </w:tr>
      <w:tr>
        <w:tc>
          <w:tcPr/>
          <w:p>
            <w:pPr>
              <w:pStyle w:val="Compact"/>
              <w:jc w:val="left"/>
            </w:pPr>
            <w:r>
              <w:t xml:space="preserve">Internet speed poor or very poor</w:t>
            </w:r>
          </w:p>
        </w:tc>
        <w:tc>
          <w:tcPr/>
          <w:p>
            <w:pPr>
              <w:pStyle w:val="Compact"/>
              <w:jc w:val="right"/>
            </w:pPr>
            <w:r>
              <w:t xml:space="preserve">10</w:t>
            </w:r>
          </w:p>
        </w:tc>
        <w:tc>
          <w:tcPr/>
          <w:p>
            <w:pPr>
              <w:pStyle w:val="Compact"/>
              <w:jc w:val="right"/>
            </w:pPr>
            <w:r>
              <w:t xml:space="preserve">26.3</w:t>
            </w:r>
          </w:p>
        </w:tc>
      </w:tr>
      <w:tr>
        <w:tc>
          <w:tcPr/>
          <w:p>
            <w:pPr>
              <w:pStyle w:val="Compact"/>
              <w:jc w:val="left"/>
            </w:pPr>
            <w:r>
              <w:t xml:space="preserve">Home not quiet</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Home affects study very much</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Very high psychological stress</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Online cannot replace face-to-face</w:t>
            </w:r>
          </w:p>
        </w:tc>
        <w:tc>
          <w:tcPr/>
          <w:p>
            <w:pPr>
              <w:pStyle w:val="Compact"/>
              <w:jc w:val="right"/>
            </w:pPr>
            <w:r>
              <w:t xml:space="preserve">19</w:t>
            </w:r>
          </w:p>
        </w:tc>
        <w:tc>
          <w:tcPr/>
          <w:p>
            <w:pPr>
              <w:pStyle w:val="Compact"/>
              <w:jc w:val="right"/>
            </w:pPr>
            <w:r>
              <w:t xml:space="preserve">50.0</w:t>
            </w:r>
          </w:p>
        </w:tc>
      </w:tr>
      <w:tr>
        <w:tc>
          <w:tcPr/>
          <w:p>
            <w:pPr>
              <w:pStyle w:val="Compact"/>
              <w:jc w:val="left"/>
            </w:pPr>
            <w:r>
              <w:t xml:space="preserve">Learned little or nothing online</w:t>
            </w:r>
          </w:p>
        </w:tc>
        <w:tc>
          <w:tcPr/>
          <w:p>
            <w:pPr>
              <w:pStyle w:val="Compact"/>
              <w:jc w:val="right"/>
            </w:pPr>
            <w:r>
              <w:t xml:space="preserve">11</w:t>
            </w:r>
          </w:p>
        </w:tc>
        <w:tc>
          <w:tcPr/>
          <w:p>
            <w:pPr>
              <w:pStyle w:val="Compact"/>
              <w:jc w:val="right"/>
            </w:pPr>
            <w:r>
              <w:t xml:space="preserve">28.9</w:t>
            </w:r>
          </w:p>
        </w:tc>
      </w:tr>
    </w:tbl>
    <w:bookmarkEnd w:id="35"/>
    <w:bookmarkStart w:id="36" w:name="addressing-rq1-platform-access"/>
    <w:p>
      <w:pPr>
        <w:pStyle w:val="Heading3"/>
      </w:pPr>
      <w:r>
        <w:t xml:space="preserve">4.2 Addressing RQ1: platform access</w:t>
      </w:r>
    </w:p>
    <w:p>
      <w:pPr>
        <w:pStyle w:val="FirstParagraph"/>
      </w:pPr>
      <w:r>
        <w:t xml:space="preserve">Table 3 shows uneven access to institutionally familiar and consumer-facing platforms. The questionnaire cannot isolate country restrictions, routing, account rules, skills, or virtual private networks. The pattern used for later discussion is that QQ and Chaoxing were frequently marked unusable, while Zoom and WhatsApp were more often marked available. WhatsApp appears only as available; the retained form did not code whether it was used for class. Tencent Meeting was the most used class tool but was marked available by fewer respondents, a discrepancy left as an item-level inconsistency.</w:t>
      </w:r>
    </w:p>
    <w:p>
      <w:pPr>
        <w:pStyle w:val="BodyText"/>
      </w:pPr>
      <w:r>
        <w:rPr>
          <w:bCs/>
          <w:b/>
        </w:rPr>
        <w:t xml:space="preserve">Table 3</w:t>
      </w:r>
    </w:p>
    <w:p>
      <w:pPr>
        <w:pStyle w:val="BodyText"/>
      </w:pPr>
      <w:r>
        <w:rPr>
          <w:iCs/>
          <w:i/>
        </w:rPr>
        <w:t xml:space="preserve">Reported use and perceived availability of platforms (multiple response, N = 38)</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Platform</w:t>
            </w:r>
          </w:p>
        </w:tc>
        <w:tc>
          <w:tcPr/>
          <w:p>
            <w:pPr>
              <w:pStyle w:val="Compact"/>
              <w:jc w:val="right"/>
            </w:pPr>
            <w:r>
              <w:t xml:space="preserve">Used for class</w:t>
            </w:r>
          </w:p>
        </w:tc>
        <w:tc>
          <w:tcPr/>
          <w:p>
            <w:pPr>
              <w:pStyle w:val="Compact"/>
              <w:jc w:val="right"/>
            </w:pPr>
            <w:r>
              <w:t xml:space="preserve">Marked unusable in my country</w:t>
            </w:r>
          </w:p>
        </w:tc>
        <w:tc>
          <w:tcPr/>
          <w:p>
            <w:pPr>
              <w:pStyle w:val="Compact"/>
              <w:jc w:val="right"/>
            </w:pPr>
            <w:r>
              <w:t xml:space="preserve">Can use in my country</w:t>
            </w:r>
          </w:p>
        </w:tc>
      </w:tr>
      <w:tr>
        <w:tc>
          <w:tcPr/>
          <w:p>
            <w:pPr>
              <w:pStyle w:val="Compact"/>
              <w:jc w:val="left"/>
            </w:pPr>
            <w:r>
              <w:t xml:space="preserve">Tencent Meeting</w:t>
            </w:r>
          </w:p>
        </w:tc>
        <w:tc>
          <w:tcPr/>
          <w:p>
            <w:pPr>
              <w:pStyle w:val="Compact"/>
              <w:jc w:val="right"/>
            </w:pPr>
            <w:r>
              <w:t xml:space="preserve">71.1</w:t>
            </w:r>
          </w:p>
        </w:tc>
        <w:tc>
          <w:tcPr/>
          <w:p>
            <w:pPr>
              <w:pStyle w:val="Compact"/>
              <w:jc w:val="right"/>
            </w:pPr>
            <w:r>
              <w:t xml:space="preserve">n.a.</w:t>
            </w:r>
          </w:p>
        </w:tc>
        <w:tc>
          <w:tcPr/>
          <w:p>
            <w:pPr>
              <w:pStyle w:val="Compact"/>
              <w:jc w:val="right"/>
            </w:pPr>
            <w:r>
              <w:t xml:space="preserve">57.9</w:t>
            </w:r>
          </w:p>
        </w:tc>
      </w:tr>
      <w:tr>
        <w:tc>
          <w:tcPr/>
          <w:p>
            <w:pPr>
              <w:pStyle w:val="Compact"/>
              <w:jc w:val="left"/>
            </w:pPr>
            <w:r>
              <w:t xml:space="preserve">Zoom</w:t>
            </w:r>
          </w:p>
        </w:tc>
        <w:tc>
          <w:tcPr/>
          <w:p>
            <w:pPr>
              <w:pStyle w:val="Compact"/>
              <w:jc w:val="right"/>
            </w:pPr>
            <w:r>
              <w:t xml:space="preserve">47.4</w:t>
            </w:r>
          </w:p>
        </w:tc>
        <w:tc>
          <w:tcPr/>
          <w:p>
            <w:pPr>
              <w:pStyle w:val="Compact"/>
              <w:jc w:val="right"/>
            </w:pPr>
            <w:r>
              <w:t xml:space="preserve">n.a.</w:t>
            </w:r>
          </w:p>
        </w:tc>
        <w:tc>
          <w:tcPr/>
          <w:p>
            <w:pPr>
              <w:pStyle w:val="Compact"/>
              <w:jc w:val="right"/>
            </w:pPr>
            <w:r>
              <w:t xml:space="preserve">71.1</w:t>
            </w:r>
          </w:p>
        </w:tc>
      </w:tr>
      <w:tr>
        <w:tc>
          <w:tcPr/>
          <w:p>
            <w:pPr>
              <w:pStyle w:val="Compact"/>
              <w:jc w:val="left"/>
            </w:pPr>
            <w:r>
              <w:t xml:space="preserve">WeChat</w:t>
            </w:r>
          </w:p>
        </w:tc>
        <w:tc>
          <w:tcPr/>
          <w:p>
            <w:pPr>
              <w:pStyle w:val="Compact"/>
              <w:jc w:val="right"/>
            </w:pPr>
            <w:r>
              <w:t xml:space="preserve">31.6</w:t>
            </w:r>
          </w:p>
        </w:tc>
        <w:tc>
          <w:tcPr/>
          <w:p>
            <w:pPr>
              <w:pStyle w:val="Compact"/>
              <w:jc w:val="right"/>
            </w:pPr>
            <w:r>
              <w:t xml:space="preserve">n.a.</w:t>
            </w:r>
          </w:p>
        </w:tc>
        <w:tc>
          <w:tcPr/>
          <w:p>
            <w:pPr>
              <w:pStyle w:val="Compact"/>
              <w:jc w:val="right"/>
            </w:pPr>
            <w:r>
              <w:t xml:space="preserve">39.5</w:t>
            </w:r>
          </w:p>
        </w:tc>
      </w:tr>
      <w:tr>
        <w:tc>
          <w:tcPr/>
          <w:p>
            <w:pPr>
              <w:pStyle w:val="Compact"/>
              <w:jc w:val="left"/>
            </w:pPr>
            <w:r>
              <w:t xml:space="preserve">WhatsApp</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68.4</w:t>
            </w:r>
          </w:p>
        </w:tc>
      </w:tr>
      <w:tr>
        <w:tc>
          <w:tcPr/>
          <w:p>
            <w:pPr>
              <w:pStyle w:val="Compact"/>
              <w:jc w:val="left"/>
            </w:pPr>
            <w:r>
              <w:t xml:space="preserve">QQ</w:t>
            </w:r>
          </w:p>
        </w:tc>
        <w:tc>
          <w:tcPr/>
          <w:p>
            <w:pPr>
              <w:pStyle w:val="Compact"/>
              <w:jc w:val="right"/>
            </w:pPr>
            <w:r>
              <w:t xml:space="preserve">n.a.</w:t>
            </w:r>
          </w:p>
        </w:tc>
        <w:tc>
          <w:tcPr/>
          <w:p>
            <w:pPr>
              <w:pStyle w:val="Compact"/>
              <w:jc w:val="right"/>
            </w:pPr>
            <w:r>
              <w:t xml:space="preserve">50.0</w:t>
            </w:r>
          </w:p>
        </w:tc>
        <w:tc>
          <w:tcPr/>
          <w:p>
            <w:pPr>
              <w:pStyle w:val="Compact"/>
              <w:jc w:val="right"/>
            </w:pPr>
            <w:r>
              <w:t xml:space="preserve">n.a.</w:t>
            </w:r>
          </w:p>
        </w:tc>
      </w:tr>
      <w:tr>
        <w:tc>
          <w:tcPr/>
          <w:p>
            <w:pPr>
              <w:pStyle w:val="Compact"/>
              <w:jc w:val="left"/>
            </w:pPr>
            <w:r>
              <w:t xml:space="preserve">Chaoxing</w:t>
            </w:r>
          </w:p>
        </w:tc>
        <w:tc>
          <w:tcPr/>
          <w:p>
            <w:pPr>
              <w:pStyle w:val="Compact"/>
              <w:jc w:val="right"/>
            </w:pPr>
            <w:r>
              <w:t xml:space="preserve">n.a.</w:t>
            </w:r>
          </w:p>
        </w:tc>
        <w:tc>
          <w:tcPr/>
          <w:p>
            <w:pPr>
              <w:pStyle w:val="Compact"/>
              <w:jc w:val="right"/>
            </w:pPr>
            <w:r>
              <w:t xml:space="preserve">42.1</w:t>
            </w:r>
          </w:p>
        </w:tc>
        <w:tc>
          <w:tcPr/>
          <w:p>
            <w:pPr>
              <w:pStyle w:val="Compact"/>
              <w:jc w:val="right"/>
            </w:pPr>
            <w:r>
              <w:t xml:space="preserve">n.a.</w:t>
            </w:r>
          </w:p>
        </w:tc>
      </w:tr>
      <w:tr>
        <w:tc>
          <w:tcPr/>
          <w:p>
            <w:pPr>
              <w:pStyle w:val="Compact"/>
              <w:jc w:val="left"/>
            </w:pPr>
            <w:r>
              <w:t xml:space="preserve">DingTalk</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r>
        <w:tc>
          <w:tcPr/>
          <w:p>
            <w:pPr>
              <w:pStyle w:val="Compact"/>
              <w:jc w:val="left"/>
            </w:pPr>
            <w:r>
              <w:t xml:space="preserve">中国慕课 (Chinese MOOC, as printed)</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bl>
    <w:p>
      <w:pPr>
        <w:pStyle w:val="BodyText"/>
      </w:pPr>
      <w:r>
        <w:rPr>
          <w:iCs/>
          <w:i/>
        </w:rPr>
        <w:t xml:space="preserve">Note.</w:t>
      </w:r>
      <w:r>
        <w:t xml:space="preserve"> </w:t>
      </w:r>
      <w:r>
        <w:t xml:space="preserve">n.a. = the item was not asked in that column.</w:t>
      </w:r>
      <w:r>
        <w:t xml:space="preserve"> </w:t>
      </w:r>
      <w:r>
        <w:t xml:space="preserve">“</w:t>
      </w:r>
      <w:r>
        <w:t xml:space="preserve">My country</w:t>
      </w:r>
      <w:r>
        <w:t xml:space="preserve">”</w:t>
      </w:r>
      <w:r>
        <w:t xml:space="preserve"> </w:t>
      </w:r>
      <w:r>
        <w:t xml:space="preserve">is the stem wording. QQ, Chaoxing, DingTalk, and 中国慕课 are platforms often used in Chinese-university teaching; they are not exclusively campus systems.</w:t>
      </w:r>
      <w:r>
        <w:t xml:space="preserve"> </w:t>
      </w:r>
      <w:r>
        <w:t xml:space="preserve">“</w:t>
      </w:r>
      <w:r>
        <w:t xml:space="preserve">Marked unusable</w:t>
      </w:r>
      <w:r>
        <w:t xml:space="preserve">”</w:t>
      </w:r>
      <w:r>
        <w:t xml:space="preserve"> </w:t>
      </w:r>
      <w:r>
        <w:t xml:space="preserve">follows the item wording and is not a technical claim that the platform was blocked.</w:t>
      </w:r>
    </w:p>
    <w:bookmarkEnd w:id="36"/>
    <w:bookmarkStart w:id="37" w:name="addressing-rq2-stress-and-appraisals"/>
    <w:p>
      <w:pPr>
        <w:pStyle w:val="Heading3"/>
      </w:pPr>
      <w:r>
        <w:t xml:space="preserve">4.3 Addressing RQ2: stress and appraisals</w:t>
      </w:r>
    </w:p>
    <w:p>
      <w:pPr>
        <w:pStyle w:val="FirstParagraph"/>
      </w:pPr>
      <w:r>
        <w:t xml:space="preserve">Among those who said the home affected study very much, 11 of 14 also selected</w:t>
      </w:r>
      <w:r>
        <w:t xml:space="preserve"> </w:t>
      </w:r>
      <w:r>
        <w:t xml:space="preserve">“</w:t>
      </w:r>
      <w:r>
        <w:t xml:space="preserve">very high</w:t>
      </w:r>
      <w:r>
        <w:t xml:space="preserve">”</w:t>
      </w:r>
      <w:r>
        <w:t xml:space="preserve"> </w:t>
      </w:r>
      <w:r>
        <w:t xml:space="preserve">psychological stress; among the others, 3 of 24 did (two-sided Fisher’s exact</w:t>
      </w:r>
      <w:r>
        <w:t xml:space="preserve"> </w:t>
      </w:r>
      <w:r>
        <w:rPr>
          <w:iCs/>
          <w:i/>
        </w:rPr>
        <w:t xml:space="preserve">p</w:t>
      </w:r>
      <w:r>
        <w:t xml:space="preserve"> </w:t>
      </w:r>
      <w:r>
        <w:t xml:space="preserve">= .00008). That is a co-occurrence in this dataset, not evidence that the household caused stress.</w:t>
      </w:r>
    </w:p>
    <w:p>
      <w:pPr>
        <w:pStyle w:val="BodyText"/>
      </w:pPr>
      <w:r>
        <w:t xml:space="preserve">Worse internet speed was associated with a worse appraisal index (ρ = .65,</w:t>
      </w:r>
      <w:r>
        <w:t xml:space="preserve"> </w:t>
      </w:r>
      <w:r>
        <w:rPr>
          <w:iCs/>
          <w:i/>
        </w:rPr>
        <w:t xml:space="preserve">p</w:t>
      </w:r>
      <w:r>
        <w:t xml:space="preserve"> </w:t>
      </w:r>
      <w:r>
        <w:t xml:space="preserve">&lt; .001, percentile bootstrap 95% CI [.36, .84]; Table 4). An unvalidated post hoc count of selected infrastructure-problem options (unstable network, power interruptions, no signal) was not associated with the index (ρ = .02). That count is not interpreted as evidence against the role of infrastructure.</w:t>
      </w:r>
    </w:p>
    <w:p>
      <w:pPr>
        <w:pStyle w:val="BodyText"/>
      </w:pPr>
      <w:r>
        <w:t xml:space="preserve">Active interaction with the teacher</w:t>
      </w:r>
      <w:r>
        <w:t xml:space="preserve"> </w:t>
      </w:r>
      <w:r>
        <w:t xml:space="preserve">“</w:t>
      </w:r>
      <w:r>
        <w:t xml:space="preserve">very much</w:t>
      </w:r>
      <w:r>
        <w:t xml:space="preserve">”</w:t>
      </w:r>
      <w:r>
        <w:t xml:space="preserve"> </w:t>
      </w:r>
      <w:r>
        <w:t xml:space="preserve">was uncommon (6 of 38). Preferred live length was 45 minutes for half of the respondents and 30 minutes for 28.9%. One open comment said that even one minute online was</w:t>
      </w:r>
      <w:r>
        <w:t xml:space="preserve"> </w:t>
      </w:r>
      <w:r>
        <w:t xml:space="preserve">“</w:t>
      </w:r>
      <w:r>
        <w:t xml:space="preserve">not suitable.</w:t>
      </w:r>
      <w:r>
        <w:t xml:space="preserve">”</w:t>
      </w:r>
    </w:p>
    <w:p>
      <w:pPr>
        <w:pStyle w:val="BodyText"/>
      </w:pPr>
      <w:r>
        <w:rPr>
          <w:bCs/>
          <w:b/>
        </w:rPr>
        <w:t xml:space="preserve">Table 4</w:t>
      </w:r>
    </w:p>
    <w:p>
      <w:pPr>
        <w:pStyle w:val="BodyText"/>
      </w:pPr>
      <w:r>
        <w:rPr>
          <w:iCs/>
          <w:i/>
        </w:rPr>
        <w:t xml:space="preserve">Focal associations (N = 38)</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Association</w:t>
            </w:r>
          </w:p>
        </w:tc>
        <w:tc>
          <w:tcPr/>
          <w:p>
            <w:pPr>
              <w:pStyle w:val="Compact"/>
              <w:jc w:val="left"/>
            </w:pPr>
            <w:r>
              <w:t xml:space="preserve">Result</w:t>
            </w:r>
          </w:p>
        </w:tc>
      </w:tr>
      <w:tr>
        <w:tc>
          <w:tcPr/>
          <w:p>
            <w:pPr>
              <w:pStyle w:val="Compact"/>
              <w:jc w:val="left"/>
            </w:pPr>
            <w:r>
              <w:t xml:space="preserve">Home affects study very much × very high stress</w:t>
            </w:r>
          </w:p>
        </w:tc>
        <w:tc>
          <w:tcPr/>
          <w:p>
            <w:pPr>
              <w:pStyle w:val="Compact"/>
              <w:jc w:val="left"/>
            </w:pPr>
            <w:r>
              <w:t xml:space="preserve">11/14 vs 3/24; two-sided Fisher’s exact</w:t>
            </w:r>
            <w:r>
              <w:t xml:space="preserve"> </w:t>
            </w:r>
            <w:r>
              <w:rPr>
                <w:iCs/>
                <w:i/>
              </w:rPr>
              <w:t xml:space="preserve">p</w:t>
            </w:r>
            <w:r>
              <w:t xml:space="preserve"> </w:t>
            </w:r>
            <w:r>
              <w:t xml:space="preserve">= .00008</w:t>
            </w:r>
          </w:p>
        </w:tc>
      </w:tr>
      <w:tr>
        <w:tc>
          <w:tcPr/>
          <w:p>
            <w:pPr>
              <w:pStyle w:val="Compact"/>
              <w:jc w:val="left"/>
            </w:pPr>
            <w:r>
              <w:t xml:space="preserve">Speed (worse) × appraisal index (worse)</w:t>
            </w:r>
          </w:p>
        </w:tc>
        <w:tc>
          <w:tcPr/>
          <w:p>
            <w:pPr>
              <w:pStyle w:val="Compact"/>
              <w:jc w:val="left"/>
            </w:pPr>
            <w:r>
              <w:t xml:space="preserve">ρ = .65, percentile bootstrap 95% CI [.36, .84],</w:t>
            </w:r>
            <w:r>
              <w:t xml:space="preserve"> </w:t>
            </w:r>
            <w:r>
              <w:rPr>
                <w:iCs/>
                <w:i/>
              </w:rPr>
              <w:t xml:space="preserve">p</w:t>
            </w:r>
            <w:r>
              <w:t xml:space="preserve"> </w:t>
            </w:r>
            <w:r>
              <w:t xml:space="preserve">&lt; .001</w:t>
            </w:r>
          </w:p>
        </w:tc>
      </w:tr>
      <w:tr>
        <w:tc>
          <w:tcPr/>
          <w:p>
            <w:pPr>
              <w:pStyle w:val="Compact"/>
              <w:jc w:val="left"/>
            </w:pPr>
            <w:r>
              <w:t xml:space="preserve">Infrastructure-problem count × appraisal index (exploratory post hoc)</w:t>
            </w:r>
          </w:p>
        </w:tc>
        <w:tc>
          <w:tcPr/>
          <w:p>
            <w:pPr>
              <w:pStyle w:val="Compact"/>
              <w:jc w:val="left"/>
            </w:pPr>
            <w:r>
              <w:t xml:space="preserve">ρ = .02, percentile bootstrap 95% CI [−.32, .37],</w:t>
            </w:r>
            <w:r>
              <w:t xml:space="preserve"> </w:t>
            </w:r>
            <w:r>
              <w:rPr>
                <w:iCs/>
                <w:i/>
              </w:rPr>
              <w:t xml:space="preserve">p</w:t>
            </w:r>
            <w:r>
              <w:t xml:space="preserve"> </w:t>
            </w:r>
            <w:r>
              <w:t xml:space="preserve">= .91</w:t>
            </w:r>
          </w:p>
        </w:tc>
      </w:tr>
    </w:tbl>
    <w:p>
      <w:pPr>
        <w:pStyle w:val="BodyText"/>
      </w:pPr>
      <w:r>
        <w:rPr>
          <w:iCs/>
          <w:i/>
        </w:rPr>
        <w:t xml:space="preserve">Note.</w:t>
      </w:r>
      <w:r>
        <w:t xml:space="preserve"> </w:t>
      </w:r>
      <w:r>
        <w:t xml:space="preserve">Analyses are exploratory. Odds ratios are omitted. The infrastructure-problem count is an unvalidated post hoc indicator and is not treated as a parallel scale.</w:t>
      </w:r>
    </w:p>
    <w:p>
      <w:pPr>
        <w:pStyle w:val="BodyText"/>
      </w:pPr>
      <w:r>
        <w:t xml:space="preserve">Among Pakistani-nationality respondents only (n = 37), the home–stress table remained 11/14 versus 3/23 (two-sided Fisher’s exact</w:t>
      </w:r>
      <w:r>
        <w:t xml:space="preserve"> </w:t>
      </w:r>
      <w:r>
        <w:rPr>
          <w:iCs/>
          <w:i/>
        </w:rPr>
        <w:t xml:space="preserve">p</w:t>
      </w:r>
      <w:r>
        <w:t xml:space="preserve"> </w:t>
      </w:r>
      <w:r>
        <w:t xml:space="preserve">= .00011) and speed × appraisal was ρ = .67 (percentile bootstrap 95% CI [.39, .85]).</w:t>
      </w:r>
    </w:p>
    <w:bookmarkEnd w:id="37"/>
    <w:bookmarkStart w:id="38" w:name="addressing-rq3-replacement-judgment"/>
    <w:p>
      <w:pPr>
        <w:pStyle w:val="Heading3"/>
      </w:pPr>
      <w:r>
        <w:t xml:space="preserve">4.4 Addressing RQ3: replacement judgment</w:t>
      </w:r>
    </w:p>
    <w:p>
      <w:pPr>
        <w:pStyle w:val="FirstParagraph"/>
      </w:pPr>
      <w:r>
        <w:t xml:space="preserve">Nineteen of 38 said online study could replace campus classes, and 19 said it could not. Among women, 9 of 11 said it could not; among men, 10 of 27 said so. With only 11 women, this is a cautious observation of perceived legitimacy in this sample. It is not a gender finding about Pakistani households and is not treated as a focal test (Appendix B).</w:t>
      </w:r>
    </w:p>
    <w:bookmarkEnd w:id="38"/>
    <w:bookmarkEnd w:id="39"/>
    <w:bookmarkStart w:id="40" w:name="discussion"/>
    <w:p>
      <w:pPr>
        <w:pStyle w:val="Heading2"/>
      </w:pPr>
      <w:r>
        <w:t xml:space="preserve">5. Discussion</w:t>
      </w:r>
    </w:p>
    <w:p>
      <w:pPr>
        <w:pStyle w:val="FirstParagraph"/>
      </w:pPr>
      <w:r>
        <w:t xml:space="preserve">The contribution of this article is threefold. Empirically, it documents learner-side household and platform-access conditions for a travelling online Chinese course in a small emergency-period sample. Conceptually, it treats localization of delivery, or delivery-context fit, as a distinct layer of localization work. In relation to existing online ICLE research, it complements sending-side accounts of emergency adaptation (Xu et al., 2022) and designed online Chinese work (Zhang &amp; Liu, 2023) with the conditions against which those arrangements have to be judged.</w:t>
      </w:r>
    </w:p>
    <w:p>
      <w:pPr>
        <w:pStyle w:val="BodyText"/>
      </w:pPr>
      <w:r>
        <w:t xml:space="preserve">The study set out to establish whether the difficulties the field has named—networks, platforms, interaction, and affect—were present as learner-side conditions in this sample. The answer is yes. Those who said the home affected study</w:t>
      </w:r>
      <w:r>
        <w:t xml:space="preserve"> </w:t>
      </w:r>
      <w:r>
        <w:t xml:space="preserve">“</w:t>
      </w:r>
      <w:r>
        <w:t xml:space="preserve">very much</w:t>
      </w:r>
      <w:r>
        <w:t xml:space="preserve">”</w:t>
      </w:r>
      <w:r>
        <w:t xml:space="preserve"> </w:t>
      </w:r>
      <w:r>
        <w:t xml:space="preserve">more often selected</w:t>
      </w:r>
      <w:r>
        <w:t xml:space="preserve"> </w:t>
      </w:r>
      <w:r>
        <w:t xml:space="preserve">“</w:t>
      </w:r>
      <w:r>
        <w:t xml:space="preserve">very high stress,</w:t>
      </w:r>
      <w:r>
        <w:t xml:space="preserve">”</w:t>
      </w:r>
      <w:r>
        <w:t xml:space="preserve"> </w:t>
      </w:r>
      <w:r>
        <w:t xml:space="preserve">and worse reported internet speed was associated with a more negative appraisal of online learning. The questionnaire does not show how institutions adapted. Localization of content and materials would still have been necessary (Lu et al., 2024; Zhao, 2020). It would not, by itself, have answered a synchronous session on an unstable connection, or a required application that respondents marked unusable in their country.</w:t>
      </w:r>
    </w:p>
    <w:p>
      <w:pPr>
        <w:pStyle w:val="BodyText"/>
      </w:pPr>
      <w:r>
        <w:t xml:space="preserve">Those conditions belong to the culture of the class in a narrow, ecological sense: the immediate setting in which language work was asked to happen (van Lier, 2004). They are not a claim about Pakistani culture, nor about a national educational system. Most respondents selected Pakistani nationality, and that is the only Pakistan connection the dataset can support.</w:t>
      </w:r>
    </w:p>
    <w:p>
      <w:pPr>
        <w:pStyle w:val="BodyText"/>
      </w:pPr>
      <w:r>
        <w:t xml:space="preserve">The platform pattern is best read as a possible geography of delivery. Applications often used in Chinese-university teaching (QQ, Chaoxing, DingTalk, 中国慕课) were frequently marked unusable, while Zoom and WhatsApp were more often marked available. The questionnaire cannot say whether that pattern reflects country restrictions, routing, account rules, skills, or virtual private networks. It can say that a travelling course which assumes a single institutional toolkit may ask learners to enter a class they cannot reliably open.</w:t>
      </w:r>
    </w:p>
    <w:p>
      <w:pPr>
        <w:pStyle w:val="BodyText"/>
      </w:pPr>
      <w:r>
        <w:t xml:space="preserve">Participation in this dataset co-occurred with reported platform access, power and connectivity problems, and a home that many described as not quiet. That is a description of domestic participation conditions, not a claim that inequality is</w:t>
      </w:r>
      <w:r>
        <w:t xml:space="preserve"> </w:t>
      </w:r>
      <w:r>
        <w:t xml:space="preserve">“</w:t>
      </w:r>
      <w:r>
        <w:t xml:space="preserve">cultural.</w:t>
      </w:r>
      <w:r>
        <w:t xml:space="preserve">”</w:t>
      </w:r>
    </w:p>
    <w:bookmarkEnd w:id="40"/>
    <w:bookmarkStart w:id="45" w:name="pedagogical-implications"/>
    <w:p>
      <w:pPr>
        <w:pStyle w:val="Heading2"/>
      </w:pPr>
      <w:r>
        <w:t xml:space="preserve">6. Pedagogical implications</w:t>
      </w:r>
    </w:p>
    <w:p>
      <w:pPr>
        <w:pStyle w:val="FirstParagraph"/>
      </w:pPr>
      <w:r>
        <w:t xml:space="preserve">In this sample, the questionnaire can support only a small set of classroom decisions.</w:t>
      </w:r>
    </w:p>
    <w:bookmarkStart w:id="41" w:name="platform-selection"/>
    <w:p>
      <w:pPr>
        <w:pStyle w:val="Heading3"/>
      </w:pPr>
      <w:r>
        <w:t xml:space="preserve">Platform selection</w:t>
      </w:r>
    </w:p>
    <w:p>
      <w:pPr>
        <w:pStyle w:val="FirstParagraph"/>
      </w:pPr>
      <w:r>
        <w:t xml:space="preserve">Because QQ and Chaoxing were frequently marked unusable (Table 3), a program should not treat the sending-side toolkit as given. Before it requires a platform, it has to ask whether learners can open it where they sit, and it has to name a usable alternative. WhatsApp was marked available here, but it was not recorded as used for class, so the data do not recommend it as a replacement.</w:t>
      </w:r>
    </w:p>
    <w:bookmarkEnd w:id="41"/>
    <w:bookmarkStart w:id="42" w:name="assessment-modes"/>
    <w:p>
      <w:pPr>
        <w:pStyle w:val="Heading3"/>
      </w:pPr>
      <w:r>
        <w:t xml:space="preserve">Assessment modes</w:t>
      </w:r>
    </w:p>
    <w:p>
      <w:pPr>
        <w:pStyle w:val="FirstParagraph"/>
      </w:pPr>
      <w:r>
        <w:t xml:space="preserve">Because only 28.9% described the home as quiet, 42.1% reported power interruptions, and 76.3% reported unstable networks (Table 2), institutions should not treat a live oral hour as the only assessable performance. Assessment that assumes a quiet, continuous campus hour will mark some of those conditions as learner failure.</w:t>
      </w:r>
    </w:p>
    <w:bookmarkEnd w:id="42"/>
    <w:bookmarkStart w:id="43" w:name="live-session-duration"/>
    <w:p>
      <w:pPr>
        <w:pStyle w:val="Heading3"/>
      </w:pPr>
      <w:r>
        <w:t xml:space="preserve">Live session duration</w:t>
      </w:r>
    </w:p>
    <w:p>
      <w:pPr>
        <w:pStyle w:val="FirstParagraph"/>
      </w:pPr>
      <w:r>
        <w:t xml:space="preserve">Preferred live length here was 45 minutes for half of the respondents and 30 minutes for 28.9%. One open comment said that even one minute online was</w:t>
      </w:r>
      <w:r>
        <w:t xml:space="preserve"> </w:t>
      </w:r>
      <w:r>
        <w:t xml:space="preserve">“</w:t>
      </w:r>
      <w:r>
        <w:t xml:space="preserve">not suitable.</w:t>
      </w:r>
      <w:r>
        <w:t xml:space="preserve">”</w:t>
      </w:r>
      <w:r>
        <w:t xml:space="preserve"> </w:t>
      </w:r>
      <w:r>
        <w:t xml:space="preserve">A shorter live slot or an asynchronous oral alternative is the suggestion the data can support.</w:t>
      </w:r>
    </w:p>
    <w:bookmarkEnd w:id="43"/>
    <w:bookmarkStart w:id="44" w:name="collecting-access-data"/>
    <w:p>
      <w:pPr>
        <w:pStyle w:val="Heading3"/>
      </w:pPr>
      <w:r>
        <w:t xml:space="preserve">Collecting access data</w:t>
      </w:r>
    </w:p>
    <w:p>
      <w:pPr>
        <w:pStyle w:val="FirstParagraph"/>
      </w:pPr>
      <w:r>
        <w:t xml:space="preserve">The form shows household and access conditions. It does not show how institutions adapted. Those conditions should be collected as part of course design, not after complaints.</w:t>
      </w:r>
    </w:p>
    <w:p>
      <w:pPr>
        <w:pStyle w:val="BodyText"/>
      </w:pPr>
      <w:r>
        <w:t xml:space="preserve">These suggestions are bound to this sample. They are not a national policy, and they are not evidence that later hybrid ICLE has repeated this pattern. They do suggest that hybrid models</w:t>
      </w:r>
      <w:r>
        <w:t xml:space="preserve"> </w:t>
      </w:r>
      <w:r>
        <w:rPr>
          <w:iCs/>
          <w:i/>
        </w:rPr>
        <w:t xml:space="preserve">may</w:t>
      </w:r>
      <w:r>
        <w:t xml:space="preserve"> </w:t>
      </w:r>
      <w:r>
        <w:t xml:space="preserve">reproduce a similar mismatch if the delivery assumptions of a travelling course are left unexamined (Stockwell &amp; Wang, 2023).</w:t>
      </w:r>
    </w:p>
    <w:bookmarkEnd w:id="44"/>
    <w:bookmarkEnd w:id="45"/>
    <w:bookmarkStart w:id="46" w:name="limitations"/>
    <w:p>
      <w:pPr>
        <w:pStyle w:val="Heading2"/>
      </w:pPr>
      <w:r>
        <w:t xml:space="preserve">7. Limitations</w:t>
      </w:r>
    </w:p>
    <w:p>
      <w:pPr>
        <w:pStyle w:val="FirstParagraph"/>
      </w:pPr>
      <w:r>
        <w:t xml:space="preserve">The sample is small (N = 38), network-recruited, and majority male; recruitment channel, host university, program type, and place of residence were not recorded, so all outcomes are self-report from a convenience group whose enrollment was not independently verified. The data are from February 2022 and concern emergency remote teaching; they are not evidence about current hybrid education. The appraisal index is descriptive rather than a validated scale, the infrastructure-problem count is an unvalidated post hoc indicator, the form did not measure institutional adaptation, IP metadata are not a location measure, and no ethics-committee number is available for the 2022 collection (Section 3.5).</w:t>
      </w:r>
    </w:p>
    <w:bookmarkEnd w:id="46"/>
    <w:bookmarkStart w:id="47" w:name="conclusion"/>
    <w:p>
      <w:pPr>
        <w:pStyle w:val="Heading2"/>
      </w:pPr>
      <w:r>
        <w:t xml:space="preserve">8. Conclusion</w:t>
      </w:r>
    </w:p>
    <w:p>
      <w:pPr>
        <w:pStyle w:val="FirstParagraph"/>
      </w:pPr>
      <w:r>
        <w:t xml:space="preserve">In this sample, respondents reporting online Chinese-language courses also reported household infrastructure problems and uneven platform access. Those conditions co-occurred with selecting</w:t>
      </w:r>
      <w:r>
        <w:t xml:space="preserve"> </w:t>
      </w:r>
      <w:r>
        <w:t xml:space="preserve">“</w:t>
      </w:r>
      <w:r>
        <w:t xml:space="preserve">very high stress</w:t>
      </w:r>
      <w:r>
        <w:t xml:space="preserve">”</w:t>
      </w:r>
      <w:r>
        <w:t xml:space="preserve"> </w:t>
      </w:r>
      <w:r>
        <w:t xml:space="preserve">and with more negative appraisals of online learning. That answer is bounded by N = 38 and by emergency remote teaching (Section 3.1). Whether later hybrid arrangements have closed the gap is a question this study cannot answer. Online Chinese teaching is not only a content problem. It is also a delivery problem.</w:t>
      </w:r>
    </w:p>
    <w:bookmarkEnd w:id="47"/>
    <w:bookmarkStart w:id="48" w:name="appendix-a.-appraisal-items-and-coding"/>
    <w:p>
      <w:pPr>
        <w:pStyle w:val="Heading2"/>
      </w:pPr>
      <w:r>
        <w:t xml:space="preserve">Appendix A. Appraisal items and coding</w:t>
      </w:r>
    </w:p>
    <w:p>
      <w:pPr>
        <w:pStyle w:val="FirstParagraph"/>
      </w:pPr>
      <w:r>
        <w:t xml:space="preserve">English glosses of the Chinese stems.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Stem (gloss)</w:t>
            </w:r>
          </w:p>
        </w:tc>
        <w:tc>
          <w:tcPr/>
          <w:p>
            <w:pPr>
              <w:pStyle w:val="Compact"/>
              <w:jc w:val="left"/>
            </w:pPr>
            <w:r>
              <w:t xml:space="preserve">1</w:t>
            </w:r>
          </w:p>
        </w:tc>
        <w:tc>
          <w:tcPr/>
          <w:p>
            <w:pPr>
              <w:pStyle w:val="Compact"/>
              <w:jc w:val="left"/>
            </w:pPr>
            <w:r>
              <w:t xml:space="preserve">Higher</w:t>
            </w:r>
          </w:p>
        </w:tc>
      </w:tr>
      <w:tr>
        <w:tc>
          <w:tcPr/>
          <w:p>
            <w:pPr>
              <w:pStyle w:val="Compact"/>
              <w:jc w:val="left"/>
            </w:pPr>
            <w:r>
              <w:t xml:space="preserve">Learned (Q8)</w:t>
            </w:r>
          </w:p>
        </w:tc>
        <w:tc>
          <w:tcPr/>
          <w:p>
            <w:pPr>
              <w:pStyle w:val="Compact"/>
              <w:jc w:val="left"/>
            </w:pPr>
            <w:r>
              <w:t xml:space="preserve">Can you learn a lot in online class?</w:t>
            </w:r>
          </w:p>
        </w:tc>
        <w:tc>
          <w:tcPr/>
          <w:p>
            <w:pPr>
              <w:pStyle w:val="Compact"/>
              <w:jc w:val="left"/>
            </w:pPr>
            <w:r>
              <w:t xml:space="preserve">a lot</w:t>
            </w:r>
          </w:p>
        </w:tc>
        <w:tc>
          <w:tcPr/>
          <w:p>
            <w:pPr>
              <w:pStyle w:val="Compact"/>
              <w:jc w:val="left"/>
            </w:pPr>
            <w:r>
              <w:t xml:space="preserve">worse appraisal</w:t>
            </w:r>
          </w:p>
        </w:tc>
      </w:tr>
      <w:tr>
        <w:tc>
          <w:tcPr/>
          <w:p>
            <w:pPr>
              <w:pStyle w:val="Compact"/>
              <w:jc w:val="left"/>
            </w:pPr>
            <w:r>
              <w:t xml:space="preserve">Improve (Q9)</w:t>
            </w:r>
          </w:p>
        </w:tc>
        <w:tc>
          <w:tcPr/>
          <w:p>
            <w:pPr>
              <w:pStyle w:val="Compact"/>
              <w:jc w:val="left"/>
            </w:pPr>
            <w:r>
              <w:t xml:space="preserve">Can online study improve Chinese?</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Interest (Q10)</w:t>
            </w:r>
          </w:p>
        </w:tc>
        <w:tc>
          <w:tcPr/>
          <w:p>
            <w:pPr>
              <w:pStyle w:val="Compact"/>
              <w:jc w:val="left"/>
            </w:pPr>
            <w:r>
              <w:t xml:space="preserve">Does it spark learning interest?</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Speed (Q14)</w:t>
            </w:r>
          </w:p>
        </w:tc>
        <w:tc>
          <w:tcPr/>
          <w:p>
            <w:pPr>
              <w:pStyle w:val="Compact"/>
              <w:jc w:val="left"/>
            </w:pPr>
            <w:r>
              <w:t xml:space="preserve">Internet speed</w:t>
            </w:r>
          </w:p>
        </w:tc>
        <w:tc>
          <w:tcPr/>
          <w:p>
            <w:pPr>
              <w:pStyle w:val="Compact"/>
              <w:jc w:val="left"/>
            </w:pPr>
            <w:r>
              <w:t xml:space="preserve">very good</w:t>
            </w:r>
          </w:p>
        </w:tc>
        <w:tc>
          <w:tcPr/>
          <w:p>
            <w:pPr>
              <w:pStyle w:val="Compact"/>
              <w:jc w:val="left"/>
            </w:pPr>
            <w:r>
              <w:t xml:space="preserve">worse speed</w:t>
            </w:r>
          </w:p>
        </w:tc>
      </w:tr>
      <w:tr>
        <w:tc>
          <w:tcPr/>
          <w:p>
            <w:pPr>
              <w:pStyle w:val="Compact"/>
              <w:jc w:val="left"/>
            </w:pPr>
            <w:r>
              <w:t xml:space="preserve">Stress (Q24)</w:t>
            </w:r>
          </w:p>
        </w:tc>
        <w:tc>
          <w:tcPr/>
          <w:p>
            <w:pPr>
              <w:pStyle w:val="Compact"/>
              <w:jc w:val="left"/>
            </w:pPr>
            <w:r>
              <w:t xml:space="preserve">Psychological stress</w:t>
            </w:r>
          </w:p>
        </w:tc>
        <w:tc>
          <w:tcPr/>
          <w:p>
            <w:pPr>
              <w:pStyle w:val="Compact"/>
              <w:jc w:val="left"/>
            </w:pPr>
            <w:r>
              <w:t xml:space="preserve">very high</w:t>
            </w:r>
          </w:p>
        </w:tc>
        <w:tc>
          <w:tcPr/>
          <w:p>
            <w:pPr>
              <w:pStyle w:val="Compact"/>
              <w:jc w:val="left"/>
            </w:pPr>
            <w:r>
              <w:t xml:space="preserve">less stress</w:t>
            </w:r>
          </w:p>
        </w:tc>
      </w:tr>
      <w:tr>
        <w:tc>
          <w:tcPr/>
          <w:p>
            <w:pPr>
              <w:pStyle w:val="Compact"/>
              <w:jc w:val="left"/>
            </w:pPr>
            <w:r>
              <w:t xml:space="preserve">Interaction (Q25)</w:t>
            </w:r>
          </w:p>
        </w:tc>
        <w:tc>
          <w:tcPr/>
          <w:p>
            <w:pPr>
              <w:pStyle w:val="Compact"/>
              <w:jc w:val="left"/>
            </w:pPr>
            <w:r>
              <w:t xml:space="preserve">Active interaction with teacher</w:t>
            </w:r>
          </w:p>
        </w:tc>
        <w:tc>
          <w:tcPr/>
          <w:p>
            <w:pPr>
              <w:pStyle w:val="Compact"/>
              <w:jc w:val="left"/>
            </w:pPr>
            <w:r>
              <w:t xml:space="preserve">very much</w:t>
            </w:r>
          </w:p>
        </w:tc>
        <w:tc>
          <w:tcPr/>
          <w:p>
            <w:pPr>
              <w:pStyle w:val="Compact"/>
              <w:jc w:val="left"/>
            </w:pPr>
            <w:r>
              <w:t xml:space="preserve">thinner interaction</w:t>
            </w:r>
          </w:p>
        </w:tc>
      </w:tr>
    </w:tbl>
    <w:p>
      <w:pPr>
        <w:pStyle w:val="BodyText"/>
      </w:pPr>
      <w:r>
        <w:t xml:space="preserve">Index = mean of Q8, Q9, and Q10 (n = 38; no missing on these three).</w:t>
      </w:r>
    </w:p>
    <w:bookmarkEnd w:id="48"/>
    <w:bookmarkStart w:id="49" w:name="appendix-b.-secondary-statistics"/>
    <w:p>
      <w:pPr>
        <w:pStyle w:val="Heading2"/>
      </w:pPr>
      <w:r>
        <w:t xml:space="preserve">Appendix B. Secondary statistics</w:t>
      </w:r>
    </w:p>
    <w:p>
      <w:pPr>
        <w:pStyle w:val="FirstParagraph"/>
      </w:pPr>
      <w:r>
        <w:t xml:space="preserve">See</w:t>
      </w:r>
      <w:r>
        <w:t xml:space="preserve"> </w:t>
      </w:r>
      <w:r>
        <w:rPr>
          <w:rStyle w:val="VerbatimChar"/>
        </w:rPr>
        <w:t xml:space="preserve">analysis/supplementary_stats.md</w:t>
      </w:r>
      <w:r>
        <w:t xml:space="preserve"> </w:t>
      </w:r>
      <w:r>
        <w:t xml:space="preserve">for full tables. Summary: female × cannot-replace and learned-little × cannot-replace have identical cell counts (9/11 vs 10/27; Fisher’s exact</w:t>
      </w:r>
      <w:r>
        <w:t xml:space="preserve"> </w:t>
      </w:r>
      <w:r>
        <w:rPr>
          <w:iCs/>
          <w:i/>
        </w:rPr>
        <w:t xml:space="preserve">p</w:t>
      </w:r>
      <w:r>
        <w:t xml:space="preserve"> </w:t>
      </w:r>
      <w:r>
        <w:t xml:space="preserve">= .029). Poor internet × cannot-replace: 8/10 vs 11/28, Fisher’s exact</w:t>
      </w:r>
      <w:r>
        <w:t xml:space="preserve"> </w:t>
      </w:r>
      <w:r>
        <w:rPr>
          <w:iCs/>
          <w:i/>
        </w:rPr>
        <w:t xml:space="preserve">p</w:t>
      </w:r>
      <w:r>
        <w:t xml:space="preserve"> </w:t>
      </w:r>
      <w:r>
        <w:t xml:space="preserve">= .062. Mann–Whitney tests by gender on ordinals all had</w:t>
      </w:r>
      <w:r>
        <w:t xml:space="preserve"> </w:t>
      </w:r>
      <w:r>
        <w:rPr>
          <w:iCs/>
          <w:i/>
        </w:rPr>
        <w:t xml:space="preserve">p</w:t>
      </w:r>
      <w:r>
        <w:t xml:space="preserve"> </w:t>
      </w:r>
      <w:r>
        <w:t xml:space="preserve">≥ .36.</w:t>
      </w:r>
    </w:p>
    <w:bookmarkEnd w:id="49"/>
    <w:bookmarkStart w:id="50" w:name="references"/>
    <w:p>
      <w:pPr>
        <w:pStyle w:val="Heading2"/>
      </w:pPr>
      <w:r>
        <w:t xml:space="preserve">References</w:t>
      </w:r>
    </w:p>
    <w:p>
      <w:pPr>
        <w:pStyle w:val="FirstParagraph"/>
      </w:pPr>
      <w:r>
        <w:t xml:space="preserve">Ali, W. (2020). Online and remote learning in higher education institutes: A necessity in light of COVID-19 pandemic.</w:t>
      </w:r>
      <w:r>
        <w:t xml:space="preserve"> </w:t>
      </w:r>
      <w:r>
        <w:rPr>
          <w:iCs/>
          <w:i/>
        </w:rPr>
        <w:t xml:space="preserve">Higher Education Studies, 10</w:t>
      </w:r>
      <w:r>
        <w:t xml:space="preserve">(3), 16-25. https://doi.org/10.5539/hes.v10n3p16</w:t>
      </w:r>
    </w:p>
    <w:p>
      <w:pPr>
        <w:pStyle w:val="BodyText"/>
      </w:pPr>
      <w:r>
        <w:t xml:space="preserve">Beaunoyer, E., Dupéré, S., &amp; Guitton, M. J. (2020). COVID-19 and digital inequalities: Reciprocal impacts and mitigation strategies.</w:t>
      </w:r>
      <w:r>
        <w:t xml:space="preserve"> </w:t>
      </w:r>
      <w:r>
        <w:rPr>
          <w:iCs/>
          <w:i/>
        </w:rPr>
        <w:t xml:space="preserve">Computers in Human Behavior, 111</w:t>
      </w:r>
      <w:r>
        <w:t xml:space="preserve">, Article 106424. https://doi.org/10.1016/j.chb.2020.106424</w:t>
      </w:r>
    </w:p>
    <w:p>
      <w:pPr>
        <w:pStyle w:val="BodyText"/>
      </w:pPr>
      <w:r>
        <w:t xml:space="preserve">Butt, A., &amp; Sadaf, M. (2026). Getting around the digital horizon: Recognizing multifaceted digital divide among university students in Pakistan.</w:t>
      </w:r>
      <w:r>
        <w:t xml:space="preserve"> </w:t>
      </w:r>
      <w:r>
        <w:rPr>
          <w:iCs/>
          <w:i/>
        </w:rPr>
        <w:t xml:space="preserve">Journal of the Knowledge Economy, 17</w:t>
      </w:r>
      <w:r>
        <w:t xml:space="preserve">(4), 9567-9590. https://doi.org/10.1007/s13132-026-03164-7</w:t>
      </w:r>
    </w:p>
    <w:p>
      <w:pPr>
        <w:pStyle w:val="BodyText"/>
      </w:pPr>
      <w:r>
        <w:t xml:space="preserve">Canagarajah, A. S. (Ed.). (2005).</w:t>
      </w:r>
      <w:r>
        <w:t xml:space="preserve"> </w:t>
      </w:r>
      <w:r>
        <w:rPr>
          <w:iCs/>
          <w:i/>
        </w:rPr>
        <w:t xml:space="preserve">Reclaiming the local in language policy and practice</w:t>
      </w:r>
      <w:r>
        <w:t xml:space="preserve">. Lawrence Erlbaum.</w:t>
      </w:r>
    </w:p>
    <w:p>
      <w:pPr>
        <w:pStyle w:val="BodyText"/>
      </w:pPr>
      <w:r>
        <w:t xml:space="preserve">Gacs, A., Goertler, S., &amp; Spasova, S. (2020). Planned online language education versus crisis-prompted online language teaching: Lessons for the future.</w:t>
      </w:r>
      <w:r>
        <w:t xml:space="preserve"> </w:t>
      </w:r>
      <w:r>
        <w:rPr>
          <w:iCs/>
          <w:i/>
        </w:rPr>
        <w:t xml:space="preserve">Foreign Language Annals, 53</w:t>
      </w:r>
      <w:r>
        <w:t xml:space="preserve">(2), 380-392. https://doi.org/10.1111/flan.12460</w:t>
      </w:r>
    </w:p>
    <w:p>
      <w:pPr>
        <w:pStyle w:val="BodyText"/>
      </w:pPr>
      <w:r>
        <w:t xml:space="preserve">Gao, X., &amp; Hua, Z. (2021). Experiencing Chinese education: Learning of language and culture by international students in Chinese universities.</w:t>
      </w:r>
      <w:r>
        <w:t xml:space="preserve"> </w:t>
      </w:r>
      <w:r>
        <w:rPr>
          <w:iCs/>
          <w:i/>
        </w:rPr>
        <w:t xml:space="preserve">Language, Culture and Curriculum, 34</w:t>
      </w:r>
      <w:r>
        <w:t xml:space="preserve">(4), 353-359. https://doi.org/10.1080/07908318.2020.1871002</w:t>
      </w:r>
    </w:p>
    <w:p>
      <w:pPr>
        <w:pStyle w:val="BodyText"/>
      </w:pPr>
      <w:r>
        <w:t xml:space="preserve">Gong, Y., Gao, X., Li, M., &amp; Lai, C. (2020a). Cultural adaptation challenges and strategies during study abroad: New Zealand students in China.</w:t>
      </w:r>
      <w:r>
        <w:t xml:space="preserve"> </w:t>
      </w:r>
      <w:r>
        <w:rPr>
          <w:iCs/>
          <w:i/>
        </w:rPr>
        <w:t xml:space="preserve">Language, Culture and Curriculum, 34</w:t>
      </w:r>
      <w:r>
        <w:t xml:space="preserve">(4), 417-437. https://doi.org/10.1080/07908318.2020.1856129</w:t>
      </w:r>
    </w:p>
    <w:p>
      <w:pPr>
        <w:pStyle w:val="BodyText"/>
      </w:pPr>
      <w:r>
        <w:t xml:space="preserve">Gong, Y., Gao, X., &amp; Lyu, B. (2020b). Teaching Chinese as a second or foreign language to non-Chinese learners in mainland China (2014-2018).</w:t>
      </w:r>
      <w:r>
        <w:t xml:space="preserve"> </w:t>
      </w:r>
      <w:r>
        <w:rPr>
          <w:iCs/>
          <w:i/>
        </w:rPr>
        <w:t xml:space="preserve">Language Teaching, 53</w:t>
      </w:r>
      <w:r>
        <w:t xml:space="preserve">(1), 44-62. https://doi.org/10.1017/S0261444819000387</w:t>
      </w:r>
    </w:p>
    <w:p>
      <w:pPr>
        <w:pStyle w:val="BodyText"/>
      </w:pPr>
      <w:r>
        <w:t xml:space="preserve">González-Lloret, M. (2020). Collaborative tasks for online language teaching.</w:t>
      </w:r>
      <w:r>
        <w:t xml:space="preserve"> </w:t>
      </w:r>
      <w:r>
        <w:rPr>
          <w:iCs/>
          <w:i/>
        </w:rPr>
        <w:t xml:space="preserve">Foreign Language Annals, 53</w:t>
      </w:r>
      <w:r>
        <w:t xml:space="preserve">(2), 260-269. https://doi.org/10.1111/flan.12466</w:t>
      </w:r>
    </w:p>
    <w:p>
      <w:pPr>
        <w:pStyle w:val="BodyText"/>
      </w:pPr>
      <w:r>
        <w:t xml:space="preserve">Guenier, A. W., Xing, M., &amp; Yan, J. (2026). From barriers to breakthroughs: Communicating Chinese culture to Irish learners with a multimodality online course.</w:t>
      </w:r>
      <w:r>
        <w:t xml:space="preserve"> </w:t>
      </w:r>
      <w:r>
        <w:rPr>
          <w:iCs/>
          <w:i/>
        </w:rPr>
        <w:t xml:space="preserve">Language, Culture and Curriculum</w:t>
      </w:r>
      <w:r>
        <w:t xml:space="preserve">. Advance online publication. https://doi.org/10.1080/07908318.2026.2626775</w:t>
      </w:r>
    </w:p>
    <w:p>
      <w:pPr>
        <w:pStyle w:val="BodyText"/>
      </w:pPr>
      <w:r>
        <w:t xml:space="preserve">Guerrettaz, A. M., Engman, M. M., &amp; Matsumoto, Y. (2021). Empirically defining language learning and teaching materials in use through sociomaterial perspectives.</w:t>
      </w:r>
      <w:r>
        <w:t xml:space="preserve"> </w:t>
      </w:r>
      <w:r>
        <w:rPr>
          <w:iCs/>
          <w:i/>
        </w:rPr>
        <w:t xml:space="preserve">The Modern Language Journal, 105</w:t>
      </w:r>
      <w:r>
        <w:t xml:space="preserve">(S1), 3-20. https://doi.org/10.1111/modl.12691</w:t>
      </w:r>
    </w:p>
    <w:p>
      <w:pPr>
        <w:pStyle w:val="BodyText"/>
      </w:pPr>
      <w:r>
        <w:t xml:space="preserve">Guo, C., &amp; Wan, B. (2022). The digital divide in online learning in China during the COVID-19 pandemic.</w:t>
      </w:r>
      <w:r>
        <w:t xml:space="preserve"> </w:t>
      </w:r>
      <w:r>
        <w:rPr>
          <w:iCs/>
          <w:i/>
        </w:rPr>
        <w:t xml:space="preserve">Technology in Society, 71</w:t>
      </w:r>
      <w:r>
        <w:t xml:space="preserve">, Article 102122. https://doi.org/10.1016/j.techsoc.2022.102122</w:t>
      </w:r>
    </w:p>
    <w:p>
      <w:pPr>
        <w:pStyle w:val="BodyText"/>
      </w:pPr>
      <w:r>
        <w:t xml:space="preserve">Helsper, E. (2021).</w:t>
      </w:r>
      <w:r>
        <w:t xml:space="preserve"> </w:t>
      </w:r>
      <w:r>
        <w:rPr>
          <w:iCs/>
          <w:i/>
        </w:rPr>
        <w:t xml:space="preserve">The digital disconnect: The social causes and consequences of digital inequalities</w:t>
      </w:r>
      <w:r>
        <w:t xml:space="preserve">. SAGE.</w:t>
      </w:r>
    </w:p>
    <w:p>
      <w:pPr>
        <w:pStyle w:val="BodyText"/>
      </w:pPr>
      <w:r>
        <w:t xml:space="preserve">Hodges, C., Moore, S., Lockee, B., Trust, T., &amp; Bond, A. (2020). The difference between emergency remote teaching and online learning.</w:t>
      </w:r>
      <w:r>
        <w:t xml:space="preserve"> </w:t>
      </w:r>
      <w:r>
        <w:rPr>
          <w:iCs/>
          <w:i/>
        </w:rPr>
        <w:t xml:space="preserve">EDUCAUSE Review</w:t>
      </w:r>
      <w:r>
        <w:t xml:space="preserve">. https://er.educause.edu/articles/2020/3/the-difference-between-emergency-remote-teaching-and-online-learning</w:t>
      </w:r>
    </w:p>
    <w:p>
      <w:pPr>
        <w:pStyle w:val="BodyText"/>
      </w:pPr>
      <w:r>
        <w:t xml:space="preserve">Jamil, S., &amp; Muschert, G. (2023). The COVID-19 pandemic and e-learning: The digital divide and educational crises in Pakistan’s universities.</w:t>
      </w:r>
      <w:r>
        <w:t xml:space="preserve"> </w:t>
      </w:r>
      <w:r>
        <w:rPr>
          <w:iCs/>
          <w:i/>
        </w:rPr>
        <w:t xml:space="preserve">American Behavioral Scientist, 68</w:t>
      </w:r>
      <w:r>
        <w:t xml:space="preserve">(9), 1161-1179. https://doi.org/10.1177/00027642231156779</w:t>
      </w:r>
    </w:p>
    <w:p>
      <w:pPr>
        <w:pStyle w:val="BodyText"/>
      </w:pPr>
      <w:r>
        <w:t xml:space="preserve">Jin, L., Xu, Y., &amp; Deifell, E. (2023). College-level world language faculty background characteristics and their perceptions of online language teaching during the pandemic.</w:t>
      </w:r>
      <w:r>
        <w:t xml:space="preserve"> </w:t>
      </w:r>
      <w:r>
        <w:rPr>
          <w:iCs/>
          <w:i/>
        </w:rPr>
        <w:t xml:space="preserve">Foreign Language Annals, 57</w:t>
      </w:r>
      <w:r>
        <w:t xml:space="preserve">(1), 137-162. https://doi.org/10.1111/flan.12689</w:t>
      </w:r>
    </w:p>
    <w:p>
      <w:pPr>
        <w:pStyle w:val="BodyText"/>
      </w:pPr>
      <w:r>
        <w:t xml:space="preserve">Kumaravadivelu, B. (2001). Toward a postmethod pedagogy.</w:t>
      </w:r>
      <w:r>
        <w:t xml:space="preserve"> </w:t>
      </w:r>
      <w:r>
        <w:rPr>
          <w:iCs/>
          <w:i/>
        </w:rPr>
        <w:t xml:space="preserve">TESOL Quarterly, 35</w:t>
      </w:r>
      <w:r>
        <w:t xml:space="preserve">(4), 537-560. https://doi.org/10.2307/3588427</w:t>
      </w:r>
    </w:p>
    <w:p>
      <w:pPr>
        <w:pStyle w:val="BodyText"/>
      </w:pPr>
      <w:r>
        <w:t xml:space="preserve">Li, J., &amp; Li, C. (2024). A scoping review of the research on the teaching models of online international Chinese language teaching.</w:t>
      </w:r>
      <w:r>
        <w:t xml:space="preserve"> </w:t>
      </w:r>
      <w:r>
        <w:rPr>
          <w:iCs/>
          <w:i/>
        </w:rPr>
        <w:t xml:space="preserve">Journal of Education and Learning, 13</w:t>
      </w:r>
      <w:r>
        <w:t xml:space="preserve">(4), Article 255. https://doi.org/10.5539/jel.v13n4p255</w:t>
      </w:r>
    </w:p>
    <w:p>
      <w:pPr>
        <w:pStyle w:val="BodyText"/>
      </w:pPr>
      <w:r>
        <w:t xml:space="preserve">Lomicka, L. (2020). Creating and sustaining virtual language communities.</w:t>
      </w:r>
      <w:r>
        <w:t xml:space="preserve"> </w:t>
      </w:r>
      <w:r>
        <w:rPr>
          <w:iCs/>
          <w:i/>
        </w:rPr>
        <w:t xml:space="preserve">Foreign Language Annals, 53</w:t>
      </w:r>
      <w:r>
        <w:t xml:space="preserve">(2), 306-313. https://doi.org/10.1111/flan.12456</w:t>
      </w:r>
    </w:p>
    <w:p>
      <w:pPr>
        <w:pStyle w:val="BodyText"/>
      </w:pPr>
      <w:r>
        <w:t xml:space="preserve">Lu, X., Tan, A., Ma, Y., Feng, H., &amp; Hanif, B. (2024). Scenario analysis of localization and adaptation of Chinese language teaching.</w:t>
      </w:r>
      <w:r>
        <w:t xml:space="preserve"> </w:t>
      </w:r>
      <w:r>
        <w:rPr>
          <w:iCs/>
          <w:i/>
        </w:rPr>
        <w:t xml:space="preserve">Pakistan Journal of Humanities and Social Sciences, 12</w:t>
      </w:r>
      <w:r>
        <w:t xml:space="preserve">(4), 3257-3281. https://doi.org/10.52131/pjhss.2024.v12i4.2553</w:t>
      </w:r>
    </w:p>
    <w:p>
      <w:pPr>
        <w:pStyle w:val="BodyText"/>
      </w:pPr>
      <w:r>
        <w:t xml:space="preserve">MacIntyre, P. D., Gregersen, T., &amp; Mercer, S. (2020). Language teachers’ coping strategies during the Covid-19 conversion to online teaching: Correlations with stress, wellbeing and negative emotions.</w:t>
      </w:r>
      <w:r>
        <w:t xml:space="preserve"> </w:t>
      </w:r>
      <w:r>
        <w:rPr>
          <w:iCs/>
          <w:i/>
        </w:rPr>
        <w:t xml:space="preserve">System, 94</w:t>
      </w:r>
      <w:r>
        <w:t xml:space="preserve">, Article 102352. https://doi.org/10.1016/j.system.2020.102352</w:t>
      </w:r>
    </w:p>
    <w:p>
      <w:pPr>
        <w:pStyle w:val="BodyText"/>
      </w:pPr>
      <w:r>
        <w:t xml:space="preserve">McDonough, J., &amp; Shaw, C. (2003).</w:t>
      </w:r>
      <w:r>
        <w:t xml:space="preserve"> </w:t>
      </w:r>
      <w:r>
        <w:rPr>
          <w:iCs/>
          <w:i/>
        </w:rPr>
        <w:t xml:space="preserve">Materials and methods in ELT: A teacher’s guide</w:t>
      </w:r>
      <w:r>
        <w:t xml:space="preserve"> </w:t>
      </w:r>
      <w:r>
        <w:t xml:space="preserve">(2nd ed.). Blackwell.</w:t>
      </w:r>
    </w:p>
    <w:p>
      <w:pPr>
        <w:pStyle w:val="BodyText"/>
      </w:pPr>
      <w:r>
        <w:t xml:space="preserve">Moorhouse, B. L. (2023). Teachers’ digital technology use after a period of online teaching.</w:t>
      </w:r>
      <w:r>
        <w:t xml:space="preserve"> </w:t>
      </w:r>
      <w:r>
        <w:rPr>
          <w:iCs/>
          <w:i/>
        </w:rPr>
        <w:t xml:space="preserve">ELT Journal, 77</w:t>
      </w:r>
      <w:r>
        <w:t xml:space="preserve">(4), 445-457. https://doi.org/10.1093/elt/ccac050</w:t>
      </w:r>
    </w:p>
    <w:p>
      <w:pPr>
        <w:pStyle w:val="BodyText"/>
      </w:pPr>
      <w:r>
        <w:t xml:space="preserve">Moser, K. M., Wei, T., &amp; Brenner, D. (2021). Remote teaching during COVID-19: Implications from a national survey of language educators.</w:t>
      </w:r>
      <w:r>
        <w:t xml:space="preserve"> </w:t>
      </w:r>
      <w:r>
        <w:rPr>
          <w:iCs/>
          <w:i/>
        </w:rPr>
        <w:t xml:space="preserve">System, 97</w:t>
      </w:r>
      <w:r>
        <w:t xml:space="preserve">, Article 102431. https://doi.org/10.1016/j.system.2020.102431</w:t>
      </w:r>
    </w:p>
    <w:p>
      <w:pPr>
        <w:pStyle w:val="BodyText"/>
      </w:pPr>
      <w:r>
        <w:t xml:space="preserve">Payne, J. S. (2020). Developing L2 productive language skills online and the strategic use of instructional tools.</w:t>
      </w:r>
      <w:r>
        <w:t xml:space="preserve"> </w:t>
      </w:r>
      <w:r>
        <w:rPr>
          <w:iCs/>
          <w:i/>
        </w:rPr>
        <w:t xml:space="preserve">Foreign Language Annals, 53</w:t>
      </w:r>
      <w:r>
        <w:t xml:space="preserve">(2), 243-249. https://doi.org/10.1111/flan.12457</w:t>
      </w:r>
    </w:p>
    <w:p>
      <w:pPr>
        <w:pStyle w:val="BodyText"/>
      </w:pPr>
      <w:r>
        <w:t xml:space="preserve">Qi, X. (2025).</w:t>
      </w:r>
      <w:r>
        <w:t xml:space="preserve"> </w:t>
      </w:r>
      <w:r>
        <w:t xml:space="preserve">‘</w:t>
      </w:r>
      <w:r>
        <w:t xml:space="preserve">My speech becomes just a voice, a picture</w:t>
      </w:r>
      <w:r>
        <w:t xml:space="preserve">’</w:t>
      </w:r>
      <w:r>
        <w:t xml:space="preserve">: Exploring language anxiety in Chinese as a second language learning in online environments.</w:t>
      </w:r>
      <w:r>
        <w:t xml:space="preserve"> </w:t>
      </w:r>
      <w:r>
        <w:rPr>
          <w:iCs/>
          <w:i/>
        </w:rPr>
        <w:t xml:space="preserve">Language Teaching Research</w:t>
      </w:r>
      <w:r>
        <w:t xml:space="preserve">. Advance online publication. https://doi.org/10.1177/13621688251387320</w:t>
      </w:r>
    </w:p>
    <w:p>
      <w:pPr>
        <w:pStyle w:val="BodyText"/>
      </w:pPr>
      <w:r>
        <w:t xml:space="preserve">Raza, O., &amp; Hennessy, S. (2025).</w:t>
      </w:r>
      <w:r>
        <w:t xml:space="preserve"> </w:t>
      </w:r>
      <w:r>
        <w:rPr>
          <w:iCs/>
          <w:i/>
        </w:rPr>
        <w:t xml:space="preserve">Exploring the gender differences in technology use for educational purposes at home among students in Pakistan</w:t>
      </w:r>
      <w:r>
        <w:t xml:space="preserve">. EdTech Hub. https://doi.org/10.53832/edtechhub.1099</w:t>
      </w:r>
    </w:p>
    <w:p>
      <w:pPr>
        <w:pStyle w:val="BodyText"/>
      </w:pPr>
      <w:r>
        <w:t xml:space="preserve">Russell, V. (2020). Language anxiety and the online learner.</w:t>
      </w:r>
      <w:r>
        <w:t xml:space="preserve"> </w:t>
      </w:r>
      <w:r>
        <w:rPr>
          <w:iCs/>
          <w:i/>
        </w:rPr>
        <w:t xml:space="preserve">Foreign Language Annals, 53</w:t>
      </w:r>
      <w:r>
        <w:t xml:space="preserve">(2), 338-352. https://doi.org/10.1111/flan.12461</w:t>
      </w:r>
    </w:p>
    <w:p>
      <w:pPr>
        <w:pStyle w:val="BodyText"/>
      </w:pPr>
      <w:r>
        <w:t xml:space="preserve">Shan, Z., &amp; Xu, H. (2024). Students’ conceptions and experiences of institutionalised curriculum for multilingual learning: The case of a dual-foreign-languages programme.</w:t>
      </w:r>
      <w:r>
        <w:t xml:space="preserve"> </w:t>
      </w:r>
      <w:r>
        <w:rPr>
          <w:iCs/>
          <w:i/>
        </w:rPr>
        <w:t xml:space="preserve">Language, Culture and Curriculum, 37</w:t>
      </w:r>
      <w:r>
        <w:t xml:space="preserve">(2), 230-246. https://doi.org/10.1080/07908318.2024.2313984</w:t>
      </w:r>
    </w:p>
    <w:p>
      <w:pPr>
        <w:pStyle w:val="BodyText"/>
      </w:pPr>
      <w:r>
        <w:t xml:space="preserve">Stockwell, G., &amp; Wang, Y. (2023). Exploring the challenges of technology in language teaching in the aftermath of the pandemic.</w:t>
      </w:r>
      <w:r>
        <w:t xml:space="preserve"> </w:t>
      </w:r>
      <w:r>
        <w:rPr>
          <w:iCs/>
          <w:i/>
        </w:rPr>
        <w:t xml:space="preserve">RELC Journal, 54</w:t>
      </w:r>
      <w:r>
        <w:t xml:space="preserve">(2), 474-482. https://doi.org/10.1177/00336882231168438</w:t>
      </w:r>
    </w:p>
    <w:p>
      <w:pPr>
        <w:pStyle w:val="BodyText"/>
      </w:pPr>
      <w:r>
        <w:t xml:space="preserve">Tao, J., &amp; Gao, X. (2022). Teaching and learning languages online: Challenges and responses.</w:t>
      </w:r>
      <w:r>
        <w:t xml:space="preserve"> </w:t>
      </w:r>
      <w:r>
        <w:rPr>
          <w:iCs/>
          <w:i/>
        </w:rPr>
        <w:t xml:space="preserve">System, 107</w:t>
      </w:r>
      <w:r>
        <w:t xml:space="preserve">, Article 102819. https://doi.org/10.1016/j.system.2022.102819</w:t>
      </w:r>
    </w:p>
    <w:p>
      <w:pPr>
        <w:pStyle w:val="BodyText"/>
      </w:pPr>
      <w:r>
        <w:t xml:space="preserve">Tomlinson, B. (Ed.). (2011).</w:t>
      </w:r>
      <w:r>
        <w:t xml:space="preserve"> </w:t>
      </w:r>
      <w:r>
        <w:rPr>
          <w:iCs/>
          <w:i/>
        </w:rPr>
        <w:t xml:space="preserve">Materials development in language teaching</w:t>
      </w:r>
      <w:r>
        <w:t xml:space="preserve"> </w:t>
      </w:r>
      <w:r>
        <w:t xml:space="preserve">(2nd ed.). Cambridge University Press.</w:t>
      </w:r>
    </w:p>
    <w:p>
      <w:pPr>
        <w:pStyle w:val="BodyText"/>
      </w:pPr>
      <w:r>
        <w:t xml:space="preserve">Tu, M. (2026). Time and precarity in</w:t>
      </w:r>
      <w:r>
        <w:t xml:space="preserve"> </w:t>
      </w:r>
      <w:r>
        <w:t xml:space="preserve">‘</w:t>
      </w:r>
      <w:r>
        <w:t xml:space="preserve">South–South</w:t>
      </w:r>
      <w:r>
        <w:t xml:space="preserve">’</w:t>
      </w:r>
      <w:r>
        <w:t xml:space="preserve"> </w:t>
      </w:r>
      <w:r>
        <w:t xml:space="preserve">academic mobility: A 2019–2023 longitudinal study of Pakistani PhD students and recent graduates in China.</w:t>
      </w:r>
      <w:r>
        <w:t xml:space="preserve"> </w:t>
      </w:r>
      <w:r>
        <w:rPr>
          <w:iCs/>
          <w:i/>
        </w:rPr>
        <w:t xml:space="preserve">Population, Space and Place, 32</w:t>
      </w:r>
      <w:r>
        <w:t xml:space="preserve">(2), Article e70227. https://doi.org/10.1002/psp.70227</w:t>
      </w:r>
    </w:p>
    <w:p>
      <w:pPr>
        <w:pStyle w:val="BodyText"/>
      </w:pPr>
      <w:r>
        <w:t xml:space="preserve">van Dijk, J. (2020).</w:t>
      </w:r>
      <w:r>
        <w:t xml:space="preserve"> </w:t>
      </w:r>
      <w:r>
        <w:rPr>
          <w:iCs/>
          <w:i/>
        </w:rPr>
        <w:t xml:space="preserve">The digital divide</w:t>
      </w:r>
      <w:r>
        <w:t xml:space="preserve">. Polity.</w:t>
      </w:r>
    </w:p>
    <w:p>
      <w:pPr>
        <w:pStyle w:val="BodyText"/>
      </w:pPr>
      <w:r>
        <w:t xml:space="preserve">van Lier, L. (2004).</w:t>
      </w:r>
      <w:r>
        <w:t xml:space="preserve"> </w:t>
      </w:r>
      <w:r>
        <w:rPr>
          <w:iCs/>
          <w:i/>
        </w:rPr>
        <w:t xml:space="preserve">The ecology and semiotics of language learning: A sociocultural perspective</w:t>
      </w:r>
      <w:r>
        <w:t xml:space="preserve">. Kluwer.</w:t>
      </w:r>
    </w:p>
    <w:p>
      <w:pPr>
        <w:pStyle w:val="BodyText"/>
      </w:pPr>
      <w:r>
        <w:t xml:space="preserve">Vishnu, S., Tengli, M. B., Ramadas, S., Sathyan, A. R., &amp; Bhatt, A. (2024). Bridging the divide: Assessing digital infrastructure for higher education online learning.</w:t>
      </w:r>
      <w:r>
        <w:t xml:space="preserve"> </w:t>
      </w:r>
      <w:r>
        <w:rPr>
          <w:iCs/>
          <w:i/>
        </w:rPr>
        <w:t xml:space="preserve">TechTrends, 68</w:t>
      </w:r>
      <w:r>
        <w:t xml:space="preserve">(6), 1107-1116. https://doi.org/10.1007/s11528-024-00997-4</w:t>
      </w:r>
    </w:p>
    <w:p>
      <w:pPr>
        <w:pStyle w:val="BodyText"/>
      </w:pPr>
      <w:r>
        <w:t xml:space="preserve">Warschauer, M. (2003).</w:t>
      </w:r>
      <w:r>
        <w:t xml:space="preserve"> </w:t>
      </w:r>
      <w:r>
        <w:rPr>
          <w:iCs/>
          <w:i/>
        </w:rPr>
        <w:t xml:space="preserve">Technology and social inclusion: Rethinking the digital divide</w:t>
      </w:r>
      <w:r>
        <w:t xml:space="preserve">. MIT Press.</w:t>
      </w:r>
    </w:p>
    <w:p>
      <w:pPr>
        <w:pStyle w:val="BodyText"/>
      </w:pPr>
      <w:r>
        <w:t xml:space="preserve">Wen, X., &amp; Liu, F. (2025). Emotional dynamics of advanced Chinese as a second language learners: A Q methodology study.</w:t>
      </w:r>
      <w:r>
        <w:t xml:space="preserve"> </w:t>
      </w:r>
      <w:r>
        <w:rPr>
          <w:iCs/>
          <w:i/>
        </w:rPr>
        <w:t xml:space="preserve">Language, Culture and Curriculum, 38</w:t>
      </w:r>
      <w:r>
        <w:t xml:space="preserve">(3), 380-400. https://doi.org/10.1080/07908318.2025.2486449</w:t>
      </w:r>
    </w:p>
    <w:p>
      <w:pPr>
        <w:pStyle w:val="BodyText"/>
      </w:pPr>
      <w:r>
        <w:t xml:space="preserve">White, C. (2006). Distance learning of foreign languages.</w:t>
      </w:r>
      <w:r>
        <w:t xml:space="preserve"> </w:t>
      </w:r>
      <w:r>
        <w:rPr>
          <w:iCs/>
          <w:i/>
        </w:rPr>
        <w:t xml:space="preserve">Language Teaching, 39</w:t>
      </w:r>
      <w:r>
        <w:t xml:space="preserve">(4), 247-264. https://doi.org/10.1017/S0261444806003727</w:t>
      </w:r>
    </w:p>
    <w:p>
      <w:pPr>
        <w:pStyle w:val="BodyText"/>
      </w:pPr>
      <w:r>
        <w:t xml:space="preserve">Xu, B. (2024). Technology integration into Chinese as a foreign language learning in higher education: An integrated bibliometric analysis and systematic review (2000–2024).</w:t>
      </w:r>
      <w:r>
        <w:t xml:space="preserve"> </w:t>
      </w:r>
      <w:r>
        <w:rPr>
          <w:iCs/>
          <w:i/>
        </w:rPr>
        <w:t xml:space="preserve">Language Teaching Research</w:t>
      </w:r>
      <w:r>
        <w:t xml:space="preserve">. Advance online publication. https://doi.org/10.1177/13621688241277911</w:t>
      </w:r>
    </w:p>
    <w:p>
      <w:pPr>
        <w:pStyle w:val="BodyText"/>
      </w:pPr>
      <w:r>
        <w:t xml:space="preserve">Xu, Y., Jin, L., Deifell, E., &amp; Angus, K. (2022). Facilitating technology-based character learning in emergency remote teaching.</w:t>
      </w:r>
      <w:r>
        <w:t xml:space="preserve"> </w:t>
      </w:r>
      <w:r>
        <w:rPr>
          <w:iCs/>
          <w:i/>
        </w:rPr>
        <w:t xml:space="preserve">Foreign Language Annals, 55</w:t>
      </w:r>
      <w:r>
        <w:t xml:space="preserve">(1), 72-97. https://doi.org/10.1111/flan.12541</w:t>
      </w:r>
    </w:p>
    <w:p>
      <w:pPr>
        <w:pStyle w:val="BodyText"/>
      </w:pPr>
      <w:r>
        <w:t xml:space="preserve">Zhang, M., &amp; Liu, Q. (2023). Synchronous and asynchronous online collaborative writing: A study on Chinese language learners.</w:t>
      </w:r>
      <w:r>
        <w:t xml:space="preserve"> </w:t>
      </w:r>
      <w:r>
        <w:rPr>
          <w:iCs/>
          <w:i/>
        </w:rPr>
        <w:t xml:space="preserve">Foreign Language Annals, 56</w:t>
      </w:r>
      <w:r>
        <w:t xml:space="preserve">(3), 740-763. https://doi.org/10.1111/flan.12704</w:t>
      </w:r>
    </w:p>
    <w:p>
      <w:pPr>
        <w:pStyle w:val="BodyText"/>
      </w:pPr>
      <w:r>
        <w:t xml:space="preserve">Zhang, Q., &amp; Osborne, C. (2026). Readiness for digital transformation in Chinese as a foreign language education: A semi-systematic review.</w:t>
      </w:r>
      <w:r>
        <w:t xml:space="preserve"> </w:t>
      </w:r>
      <w:r>
        <w:rPr>
          <w:iCs/>
          <w:i/>
        </w:rPr>
        <w:t xml:space="preserve">Chinese as a Second Language Research, 15</w:t>
      </w:r>
      <w:r>
        <w:t xml:space="preserve">(1), 11-43. https://doi.org/10.1515/caslar-2026-2002</w:t>
      </w:r>
    </w:p>
    <w:p>
      <w:pPr>
        <w:pStyle w:val="BodyText"/>
      </w:pPr>
      <w:r>
        <w:t xml:space="preserve">Zhang, W., Wang, Y., Yang, L., &amp; Wang, C. (2020). Suspending classes without stopping learning: China’s education emergency management policy in the COVID-19 outbreak.</w:t>
      </w:r>
      <w:r>
        <w:t xml:space="preserve"> </w:t>
      </w:r>
      <w:r>
        <w:rPr>
          <w:iCs/>
          <w:i/>
        </w:rPr>
        <w:t xml:space="preserve">Journal of Risk and Financial Management, 13</w:t>
      </w:r>
      <w:r>
        <w:t xml:space="preserve">(3), 55. https://doi.org/10.3390/jrfm13030055</w:t>
      </w:r>
    </w:p>
    <w:p>
      <w:pPr>
        <w:pStyle w:val="BodyText"/>
      </w:pPr>
      <w:r>
        <w:t xml:space="preserve">Zhao, H., &amp; Huang, J. (2010). China’s policy of Chinese as a foreign language and the use of overseas Confucius Institutes.</w:t>
      </w:r>
      <w:r>
        <w:t xml:space="preserve"> </w:t>
      </w:r>
      <w:r>
        <w:rPr>
          <w:iCs/>
          <w:i/>
        </w:rPr>
        <w:t xml:space="preserve">Educational Research for Policy and Practice, 9</w:t>
      </w:r>
      <w:r>
        <w:t xml:space="preserve">(2), 127-142. https://doi.org/10.1007/s10671-009-9078-1</w:t>
      </w:r>
    </w:p>
    <w:p>
      <w:pPr>
        <w:pStyle w:val="BodyText"/>
      </w:pPr>
      <w:r>
        <w:t xml:space="preserve">Zhao, K. (2020). Localising Chinese language curriculum construction: A case study in an Australian primary school.</w:t>
      </w:r>
      <w:r>
        <w:t xml:space="preserve"> </w:t>
      </w:r>
      <w:r>
        <w:rPr>
          <w:iCs/>
          <w:i/>
        </w:rPr>
        <w:t xml:space="preserve">Global Chinese, 6</w:t>
      </w:r>
      <w:r>
        <w:t xml:space="preserve">(2), 263-288. https://doi.org/10.1515/glochi-2020-0014</w:t>
      </w:r>
    </w:p>
    <w:bookmarkEnd w:id="50"/>
    <w:bookmarkEnd w:id="51"/>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2026-08-23T12:34:17Z</dcterms:created>
  <dcterms:modified xsi:type="dcterms:W3CDTF">2026-08-23T12:34:17Z</dcterms:modified>
</cp:coreProperties>
</file>

<file path=docProps/custom.xml><?xml version="1.0" encoding="utf-8"?>
<Properties xmlns="http://schemas.openxmlformats.org/officeDocument/2006/custom-properties" xmlns:vt="http://schemas.openxmlformats.org/officeDocument/2006/docPropsVTypes"/>
</file>