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5" w:name="X98bc7e0e5302306ce1fc1a297b6ba6e6c57c4e4"/>
    <w:p>
      <w:pPr>
        <w:pStyle w:val="Heading1"/>
      </w:pPr>
      <w:r>
        <w:t xml:space="preserve">Mainly Pakistani respondents reporting online Chinese coursework: household infrastructure and platform access during emergency remote teaching</w:t>
      </w:r>
    </w:p>
    <w:p>
      <w:pPr>
        <w:pStyle w:val="FirstParagraph"/>
      </w:pPr>
      <w:r>
        <w:rPr>
          <w:bCs/>
          <w:b/>
        </w:rPr>
        <w:t xml:space="preserve">Short title:</w:t>
      </w:r>
      <w:r>
        <w:t xml:space="preserve"> </w:t>
      </w:r>
      <w:r>
        <w:t xml:space="preserve">Remote Chinese: delivery-context fit</w:t>
      </w:r>
    </w:p>
    <w:p>
      <w:pPr>
        <w:pStyle w:val="BodyText"/>
      </w:pPr>
      <w:r>
        <w:t xml:space="preserve">Heena Rathore (corresponding author)</w:t>
      </w:r>
      <w:r>
        <w:br/>
      </w:r>
      <w:r>
        <w:t xml:space="preserve">PhD student, School of Foreign Languages, Sun Yat-sen University, Guangzhou, China</w:t>
      </w:r>
      <w:r>
        <w:br/>
      </w:r>
      <w:r>
        <w:t xml:space="preserve">Email: kristine_2020@qq.com</w:t>
      </w:r>
    </w:p>
    <w:p>
      <w:pPr>
        <w:pStyle w:val="BodyText"/>
      </w:pPr>
      <w:r>
        <w:t xml:space="preserve">Cao Huimin</w:t>
      </w:r>
      <w:r>
        <w:br/>
      </w:r>
      <w:r>
        <w:t xml:space="preserve">Institute for International Communication of Chinese Culture, Beijing Foreign Studies University, Beijing, China</w:t>
      </w:r>
    </w:p>
    <w:p>
      <w:pPr>
        <w:pStyle w:val="BodyText"/>
      </w:pPr>
      <w:r>
        <w:t xml:space="preserve">Xu Yiru (徐翌茹)</w:t>
      </w:r>
      <w:r>
        <w:br/>
      </w:r>
      <w:r>
        <w:t xml:space="preserve">School of Foreign Languages, Sun Yat-sen University, Guangzhou, China</w:t>
      </w:r>
      <w:r>
        <w:br/>
      </w:r>
      <w:r>
        <w:t xml:space="preserve">Email: xuyiru@mail.sysu.edu.cn</w:t>
      </w:r>
    </w:p>
    <w:p>
      <w:pPr>
        <w:pStyle w:val="BodyText"/>
      </w:pPr>
      <w:r>
        <w:rPr>
          <w:bCs/>
          <w:b/>
        </w:rPr>
        <w:t xml:space="preserve">Acknowledgements.</w:t>
      </w:r>
      <w:r>
        <w:t xml:space="preserve"> </w:t>
      </w:r>
      <w:r>
        <w:t xml:space="preserve">Data were collected while the first author was an M.Phil. scholar at the School of International Cultural Exchange, Central China Normal University. We thank the students who took part.</w:t>
      </w:r>
    </w:p>
    <w:p>
      <w:pPr>
        <w:pStyle w:val="BodyText"/>
      </w:pPr>
      <w:r>
        <w:rPr>
          <w:bCs/>
          <w:b/>
        </w:rPr>
        <w:t xml:space="preserve">Disclosure statement.</w:t>
      </w:r>
      <w:r>
        <w:t xml:space="preserve"> </w:t>
      </w:r>
      <w:r>
        <w:t xml:space="preserve">No potential conflict of interest was reported by the authors.</w:t>
      </w:r>
    </w:p>
    <w:p>
      <w:pPr>
        <w:pStyle w:val="BodyText"/>
      </w:pPr>
      <w:r>
        <w:rPr>
          <w:bCs/>
          <w:b/>
        </w:rPr>
        <w:t xml:space="preserve">Funding.</w:t>
      </w:r>
      <w:r>
        <w:t xml:space="preserve"> </w:t>
      </w:r>
      <w:r>
        <w:t xml:space="preserve">None.</w:t>
      </w:r>
    </w:p>
    <w:p>
      <w:pPr>
        <w:pStyle w:val="BodyText"/>
      </w:pPr>
      <w:r>
        <w:rPr>
          <w:bCs/>
          <w:b/>
        </w:rPr>
        <w:t xml:space="preserve">Data availability.</w:t>
      </w:r>
      <w:r>
        <w:t xml:space="preserve"> </w:t>
      </w:r>
      <w:r>
        <w:t xml:space="preserve">A de-identified analytical dataset, codebook, and analysis syntax are available in a public repository. Variables that could increase re-identification risk in this small convenience sample have been removed or coarsened. Files containing names, IP addresses, timestamps, or device identifiers will not be shared.</w:t>
      </w:r>
    </w:p>
    <w:bookmarkStart w:id="20" w:name="abstract"/>
    <w:p>
      <w:pPr>
        <w:pStyle w:val="Heading2"/>
      </w:pPr>
      <w:r>
        <w:t xml:space="preserve">Abstract</w:t>
      </w:r>
    </w:p>
    <w:p>
      <w:pPr>
        <w:pStyle w:val="FirstParagraph"/>
      </w:pPr>
      <w:r>
        <w:t xml:space="preserve">This article reports an exploratory questionnaire study of how 38 self-selected respondents experienced emergency remote teaching in online Chinese-language courses. Thirty-seven selected Pakistani nationality. It proposes</w:t>
      </w:r>
      <w:r>
        <w:t xml:space="preserve"> </w:t>
      </w:r>
      <w:r>
        <w:rPr>
          <w:iCs/>
          <w:i/>
        </w:rPr>
        <w:t xml:space="preserve">localisation of delivery</w:t>
      </w:r>
      <w:r>
        <w:t xml:space="preserve">—the institutional adaptation of time, platform, task, participation mode, and assessment to the receiving context—and uses the questionnaire to identify learner-side conditions that such practices would need to address, rather than to measure institutional adaptation itself. Adults completed a Chinese-language Wenjuan questionnaire in February 2022. Unstable networks (76.3%) and power interruptions (42.1%) were commonly reported, and 36.8% selected</w:t>
      </w:r>
      <w:r>
        <w:t xml:space="preserve"> </w:t>
      </w:r>
      <w:r>
        <w:t xml:space="preserve">“</w:t>
      </w:r>
      <w:r>
        <w:t xml:space="preserve">very high stress.</w:t>
      </w:r>
      <w:r>
        <w:t xml:space="preserve">”</w:t>
      </w:r>
      <w:r>
        <w:t xml:space="preserve"> </w:t>
      </w:r>
      <w:r>
        <w:t xml:space="preserve">Those who said home conditions affected study</w:t>
      </w:r>
      <w:r>
        <w:t xml:space="preserve"> </w:t>
      </w:r>
      <w:r>
        <w:t xml:space="preserve">“</w:t>
      </w:r>
      <w:r>
        <w:t xml:space="preserve">very much</w:t>
      </w:r>
      <w:r>
        <w:t xml:space="preserve">”</w:t>
      </w:r>
      <w:r>
        <w:t xml:space="preserve"> </w:t>
      </w:r>
      <w:r>
        <w:t xml:space="preserve">more often selected that stress category (11/14 versus 3/24; Fisher’s exact (p = .00008)). Worse reported internet speed was associated with a more negative appraisal of online learning ((</w:t>
      </w:r>
      <w:r>
        <w:t xml:space="preserve">= .65), 95% bootstrap CI ([.36, .84])). Platform access was uneven: QQ and Chaoxing were frequently marked unusable, while Zoom and WhatsApp were more often marked available. The findings suggest that localisation in international Chinese language education (ICLE) may need to take delivery-context fit as seriously as content and materials. The 2022 convenience sample is small, and the results are not read as evidence of current hybrid practice.</w:t>
      </w:r>
    </w:p>
    <w:p>
      <w:pPr>
        <w:pStyle w:val="BodyText"/>
      </w:pPr>
      <w:r>
        <w:rPr>
          <w:bCs/>
          <w:b/>
        </w:rPr>
        <w:t xml:space="preserve">Keywords:</w:t>
      </w:r>
      <w:r>
        <w:t xml:space="preserve"> </w:t>
      </w:r>
      <w:r>
        <w:t xml:space="preserve">localisation of delivery; Chinese as an additional language; digital inequality; emergency remote teaching; Pakistan; household infrastructure</w:t>
      </w:r>
    </w:p>
    <w:bookmarkEnd w:id="20"/>
    <w:bookmarkStart w:id="21" w:name="introduction"/>
    <w:p>
      <w:pPr>
        <w:pStyle w:val="Heading2"/>
      </w:pPr>
      <w:r>
        <w:t xml:space="preserve">1. Introduction</w:t>
      </w:r>
    </w:p>
    <w:p>
      <w:pPr>
        <w:pStyle w:val="FirstParagraph"/>
      </w:pPr>
      <w:r>
        <w:t xml:space="preserve">The relations among language, culture, and curriculum become especially visible when Chinese is taught beyond the setting in which a course was first designed. Research in international Chinese language education has given close attention to learners and pedagogical practices associated with Chinese-speaking educational settings (Gong et al., 2020b; Ma et al., 2017). When that curriculum is taken elsewhere, localisation has usually meant making materials and cultural content speak to the receiving group (Lu et al., 2024; McDonough &amp; Shaw, 2003; Tomlinson, 2011; Zhao, 2020). The same concern runs through postmethod and localist arguments that pedagogy should answer to a particular group of learners and a particular place (Canagarajah, 2005; Kumaravadivelu, 2001), and through recent articles in this journal that treat curriculum as lived practice and trace how literacy work is adapted in local classrooms (Lam, 2024; Shan &amp; Xu, 2024). These approaches remain necessary. What they leave open is a more practical question of implementation: what happens when the institutional arrangements of the course travel as well—its timetable, required platforms, tasks, expected ways of taking part, and assessment.</w:t>
      </w:r>
    </w:p>
    <w:p>
      <w:pPr>
        <w:pStyle w:val="BodyText"/>
      </w:pPr>
      <w:r>
        <w:t xml:space="preserve">If the significance of materials lies in their situated use rather than only in their printed content (Guerrettaz et al., 2021), localisation cannot stop at the page. This article proposes</w:t>
      </w:r>
      <w:r>
        <w:t xml:space="preserve"> </w:t>
      </w:r>
      <w:r>
        <w:rPr>
          <w:iCs/>
          <w:i/>
        </w:rPr>
        <w:t xml:space="preserve">localisation of delivery</w:t>
      </w:r>
      <w:r>
        <w:t xml:space="preserve"> </w:t>
      </w:r>
      <w:r>
        <w:t xml:space="preserve">as a way of naming the institutional work of adapting time, platform, task, participation mode, and assessment to the receiving context. The idea is close to, but narrower than, accessibility and digital inclusion (Warschauer, 2003). It asks how institutional decisions enable or constrain access once a course has left the setting for which it was designed. A course may be locally relevant in content but inaccessible in delivery.</w:t>
      </w:r>
    </w:p>
    <w:p>
      <w:pPr>
        <w:pStyle w:val="BodyText"/>
      </w:pPr>
      <w:r>
        <w:t xml:space="preserve">Emergency remote teaching during COVID-19 provides the historical setting in which that mismatch became visible, but it is not the theoretical centre of the argument (Hodges et al., 2020). When language programmes were shifted to videoconferencing, researchers documented thinner interaction, technical disruption, and the sudden visibility of domestic life during lessons (Gacs et al., 2020; MacIntyre et al., 2020; Moser et al., 2021; Tao &amp; Gao, 2022). Drawing on that emergency-remote-language-teaching literature (Gacs et al., 2020), this article uses</w:t>
      </w:r>
      <w:r>
        <w:t xml:space="preserve"> </w:t>
      </w:r>
      <w:r>
        <w:rPr>
          <w:iCs/>
          <w:i/>
        </w:rPr>
        <w:t xml:space="preserve">travelling course</w:t>
      </w:r>
      <w:r>
        <w:t xml:space="preserve"> </w:t>
      </w:r>
      <w:r>
        <w:t xml:space="preserve">for a course designed in one institutional setting and taught in another. Studies of Chinese-language emergency teaching have so far said more about pedagogical adaptation on the sending side—for example, technology-based character instruction (Xu et al., 2022)—than about whether the delivery arrangements themselves remained feasible for learners working under different household and technological conditions.</w:t>
      </w:r>
    </w:p>
    <w:p>
      <w:pPr>
        <w:pStyle w:val="BodyText"/>
      </w:pPr>
      <w:r>
        <w:t xml:space="preserve">Much of the research on international students of Chinese has examined learners already on a Chinese campus (Gao &amp; Hua, 2021; Gong et al., 2020a). The present analysis is more modest in scope. It draws on a February 2022 convenience sample of 38 self-selected respondents to a Chinese-language questionnaire about online Chinese learning. Thirty-seven respondents selected Pakistani nationality, while one selected another nationality. Nationality is the only Pakistan connection established in the dataset; residence, recruitment pathway, institutional affiliation, programme status, and physical location were not verified. Literature on Pakistani educational mobility and university e-learning during COVID-19 is therefore used only as contextual background for the nationality reported by most respondents (Jamil &amp; Muschert, 2023; Tu, 2026). Twenty-seven respondents (71.1%) reported taking required courses online, while 23 (60.5%) reported taking elective courses online. The findings from this self-selected group are treated as exploratory rather than representative. The questionnaire does not measure how institutions localised delivery; it records learner-side conditions and experiences that such practices would need to take seriously.</w:t>
      </w:r>
    </w:p>
    <w:p>
      <w:pPr>
        <w:pStyle w:val="BodyText"/>
      </w:pPr>
      <w:r>
        <w:t xml:space="preserve">Those conditions belong to respondents’ immediate learning ecologies: the domestic space, the connection, and the circumstances in which oral participation was asked for (van Lier, 2004; Warschauer, 2003). In that sense the article is as much about the culture of the class—the setting in which language work was expected to happen—as it is about the syllabus on the page. It examines how, in this 2022 sample, household infrastructure and reported platform access sat alongside stress, appraisals of online learning, and judgements about whether online Chinese-language courses could replace campus classes.</w:t>
      </w:r>
    </w:p>
    <w:p>
      <w:pPr>
        <w:pStyle w:val="BodyText"/>
      </w:pPr>
      <w:r>
        <w:t xml:space="preserve">Three questions guide the analysis:</w:t>
      </w:r>
    </w:p>
    <w:p>
      <w:pPr>
        <w:numPr>
          <w:ilvl w:val="0"/>
          <w:numId w:val="1001"/>
        </w:numPr>
        <w:pStyle w:val="Compact"/>
      </w:pPr>
      <w:r>
        <w:t xml:space="preserve">What household, connectivity, and platform-access conditions did respondents report?</w:t>
      </w:r>
    </w:p>
    <w:p>
      <w:pPr>
        <w:numPr>
          <w:ilvl w:val="0"/>
          <w:numId w:val="1001"/>
        </w:numPr>
        <w:pStyle w:val="Compact"/>
      </w:pPr>
      <w:r>
        <w:t xml:space="preserve">In this sample, how were reported household and connectivity conditions associated with selecting</w:t>
      </w:r>
      <w:r>
        <w:t xml:space="preserve"> </w:t>
      </w:r>
      <w:r>
        <w:t xml:space="preserve">“</w:t>
      </w:r>
      <w:r>
        <w:t xml:space="preserve">very high stress</w:t>
      </w:r>
      <w:r>
        <w:t xml:space="preserve">”</w:t>
      </w:r>
      <w:r>
        <w:t xml:space="preserve"> </w:t>
      </w:r>
      <w:r>
        <w:t xml:space="preserve">and with respondents’ appraisals of online learning?</w:t>
      </w:r>
    </w:p>
    <w:p>
      <w:pPr>
        <w:numPr>
          <w:ilvl w:val="0"/>
          <w:numId w:val="1001"/>
        </w:numPr>
        <w:pStyle w:val="Compact"/>
      </w:pPr>
      <w:r>
        <w:t xml:space="preserve">How did respondents judge whether online Chinese-language courses could replace campus-based classes?</w:t>
      </w:r>
    </w:p>
    <w:p>
      <w:pPr>
        <w:pStyle w:val="FirstParagraph"/>
      </w:pPr>
      <w:r>
        <w:t xml:space="preserve">Counts are used descriptively. Associations are explored with Fisher’s exact tests and Spearman rank correlations and are not read as confirmatory tests of population-level relationships. The article proceeds as follows. Section 2 locates the study in the emergency-remote-teaching literature, in work on digital inequality and home learning ecologies, and in the proposed account of localisation of delivery. Section 3 describes the questionnaire and the limits of the sample. Sections 4 and 5 report and discuss the findings, and the final sections set out implications, limitations, and a bounded conclusion.</w:t>
      </w:r>
    </w:p>
    <w:bookmarkEnd w:id="21"/>
    <w:bookmarkStart w:id="26" w:name="Xa71efe292272ba0d775f88aaa92c3e49c1e1383"/>
    <w:p>
      <w:pPr>
        <w:pStyle w:val="Heading2"/>
      </w:pPr>
      <w:r>
        <w:t xml:space="preserve">2. Literature review and conceptual framework</w:t>
      </w:r>
    </w:p>
    <w:bookmarkStart w:id="22" w:name="X466d9fa4ba9675c3d2d096fe48fd97f00c4a10c"/>
    <w:p>
      <w:pPr>
        <w:pStyle w:val="Heading3"/>
      </w:pPr>
      <w:r>
        <w:t xml:space="preserve">2.1 Emergency remote teaching as historical context</w:t>
      </w:r>
    </w:p>
    <w:p>
      <w:pPr>
        <w:pStyle w:val="FirstParagraph"/>
      </w:pPr>
      <w:r>
        <w:t xml:space="preserve">Hodges et al. (2020) drew a useful line between emergency remote teaching and planned online or blended provision. Gacs, Goertler and Spasova (2020) brought that distinction into language education. Surveys of language teachers from the same period describe heavier workloads, stress, and uneven preparedness once teaching moved online (MacIntyre et al., 2020; Moser et al., 2021), and Tao and Gao (2022) read the wider literature as a story of technical disruption, thinner engagement, and the need for language-specific support. That work is used here to locate the historical moment, not to stand in for the stress reports in the present questionnaire.</w:t>
      </w:r>
    </w:p>
    <w:p>
      <w:pPr>
        <w:pStyle w:val="BodyText"/>
      </w:pPr>
      <w:r>
        <w:t xml:space="preserve">After campuses reopened, later studies described a kind of technological normalisation (Moorhouse, 2023; Moorhouse, Wong, &amp; Li, 2023) and cautioned against treating a videoconference copy of the classroom as the main lesson of the crisis (Stockwell &amp; Wang, 2023). For Chinese, contemporaneous accounts recorded the policy of</w:t>
      </w:r>
      <w:r>
        <w:t xml:space="preserve"> </w:t>
      </w:r>
      <w:r>
        <w:t xml:space="preserve">“</w:t>
      </w:r>
      <w:r>
        <w:t xml:space="preserve">suspending classes without stopping learning</w:t>
      </w:r>
      <w:r>
        <w:t xml:space="preserve">”</w:t>
      </w:r>
      <w:r>
        <w:t xml:space="preserve"> </w:t>
      </w:r>
      <w:r>
        <w:t xml:space="preserve">and early platform trials (Xia et al., 2022; Zhang et al., 2020). Xu et al. (2022) show how character teaching was adapted on the sending side. Reviews of online ICLE models continue to mention technical problems, weak interaction, and time-zone difficulty (Li &amp; Li, 2024), and learner emotion in Chinese as an additional language is already a topic in this journal (Wen &amp; Liu, 2025). Much of that writing quietly assumes a relatively stable connection. The present questionnaire cannot test whether that assumption holds for current hybrid ICLE; it can only describe what 38 respondents reported in February 2022.</w:t>
      </w:r>
    </w:p>
    <w:bookmarkEnd w:id="22"/>
    <w:bookmarkStart w:id="23" w:name="X8fd0326383b50249221392c76a6b8ab8b037526"/>
    <w:p>
      <w:pPr>
        <w:pStyle w:val="Heading3"/>
      </w:pPr>
      <w:r>
        <w:t xml:space="preserve">2.2 Digital inequality and the home learning ecology</w:t>
      </w:r>
    </w:p>
    <w:p>
      <w:pPr>
        <w:pStyle w:val="FirstParagraph"/>
      </w:pPr>
      <w:r>
        <w:t xml:space="preserve">Later models of the digital divide distinguish motivational, material, skills, usage, and outcome access (Helsper, 2021; van Dijk, 2020; Warschauer, 2003). Owning a device is not the same as being able to take part (Ali, 2020). Interview research on Pakistani university e-learning during COVID-19 found uneven first-level access (internet and devices) and second-level skills, with rural and less-resourced students more exposed (Jamil &amp; Muschert, 2023). Household use of educational technology is also shaped by device sharing, care work, and electricity (Raza &amp; Hennessy, 2025). The latter source is a grey-literature report, and neither study is treated as evidence about the 38 respondents here; both are cited only as background for the nationality most of them reported.</w:t>
      </w:r>
    </w:p>
    <w:p>
      <w:pPr>
        <w:pStyle w:val="BodyText"/>
      </w:pPr>
      <w:r>
        <w:t xml:space="preserve">An ecological view of language education takes the setting of the class, not only the student and the application, as the unit of analysis (Guerrettaz et al., 2021; van Lier, 2004). The conditions reported in this questionnaire—domestic space, paid or care work, and the circumstances of speaking in class—are therefore read as elements of respondents’ immediate learning ecologies. Power interruptions, applications marked unusable, and weak bandwidth are material and infrastructural facts, not cultural traits.</w:t>
      </w:r>
    </w:p>
    <w:bookmarkEnd w:id="23"/>
    <w:bookmarkStart w:id="24" w:name="localisation-of-delivery"/>
    <w:p>
      <w:pPr>
        <w:pStyle w:val="Heading3"/>
      </w:pPr>
      <w:r>
        <w:t xml:space="preserve">2.3 Localisation of delivery</w:t>
      </w:r>
    </w:p>
    <w:p>
      <w:pPr>
        <w:pStyle w:val="FirstParagraph"/>
      </w:pPr>
      <w:r>
        <w:t xml:space="preserve">In materials work, localisation has usually meant personalising content so that it speaks to a particular group (McDonough &amp; Shaw, 2003; Tomlinson, 2011). Canagarajah (2005) and Kumaravadivelu (2001) locate pedagogy in a specific group and place. The promotion of Chinese has long been organised through institutes, textbooks, and tests (Zhao &amp; Huang, 2010), and ICLE research has applied localisation mainly to curriculum construction and textbook adaptation (Lu et al., 2024; Zhao, 2020). Lam (2024) shows how literacy practices are reshaped in a local university classroom. Guerrettaz et al. (2021) push materials off the page and into use. If that move is taken seriously, localisation also has to ask whether learners can reach and take part in the class as it is delivered.</w:t>
      </w:r>
    </w:p>
    <w:p>
      <w:pPr>
        <w:pStyle w:val="BodyText"/>
      </w:pPr>
      <w:r>
        <w:t xml:space="preserve">It is helpful to keep four layers distinct:</w:t>
      </w:r>
    </w:p>
    <w:p>
      <w:pPr>
        <w:numPr>
          <w:ilvl w:val="0"/>
          <w:numId w:val="1002"/>
        </w:numPr>
        <w:pStyle w:val="Compact"/>
      </w:pPr>
      <w:r>
        <w:t xml:space="preserve">Localisation of</w:t>
      </w:r>
      <w:r>
        <w:t xml:space="preserve"> </w:t>
      </w:r>
      <w:r>
        <w:rPr>
          <w:iCs/>
          <w:i/>
        </w:rPr>
        <w:t xml:space="preserve">content</w:t>
      </w:r>
      <w:r>
        <w:t xml:space="preserve">: examples, festivals, and cultural comparison.</w:t>
      </w:r>
    </w:p>
    <w:p>
      <w:pPr>
        <w:numPr>
          <w:ilvl w:val="0"/>
          <w:numId w:val="1002"/>
        </w:numPr>
        <w:pStyle w:val="Compact"/>
      </w:pPr>
      <w:r>
        <w:t xml:space="preserve">Localisation of</w:t>
      </w:r>
      <w:r>
        <w:t xml:space="preserve"> </w:t>
      </w:r>
      <w:r>
        <w:rPr>
          <w:iCs/>
          <w:i/>
        </w:rPr>
        <w:t xml:space="preserve">materials</w:t>
      </w:r>
      <w:r>
        <w:t xml:space="preserve">: annotation, mediation language, and page redesign.</w:t>
      </w:r>
    </w:p>
    <w:p>
      <w:pPr>
        <w:numPr>
          <w:ilvl w:val="0"/>
          <w:numId w:val="1002"/>
        </w:numPr>
        <w:pStyle w:val="Compact"/>
      </w:pPr>
      <w:r>
        <w:t xml:space="preserve">Localisation of</w:t>
      </w:r>
      <w:r>
        <w:t xml:space="preserve"> </w:t>
      </w:r>
      <w:r>
        <w:rPr>
          <w:iCs/>
          <w:i/>
        </w:rPr>
        <w:t xml:space="preserve">curriculum</w:t>
      </w:r>
      <w:r>
        <w:t xml:space="preserve">: pathway, hours, and assessment of a named programme (Shan &amp; Xu, 2024; Zhao, 2020).</w:t>
      </w:r>
    </w:p>
    <w:p>
      <w:pPr>
        <w:numPr>
          <w:ilvl w:val="0"/>
          <w:numId w:val="1002"/>
        </w:numPr>
        <w:pStyle w:val="Compact"/>
      </w:pPr>
      <w:r>
        <w:t xml:space="preserve">Localisation of</w:t>
      </w:r>
      <w:r>
        <w:t xml:space="preserve"> </w:t>
      </w:r>
      <w:r>
        <w:rPr>
          <w:iCs/>
          <w:i/>
        </w:rPr>
        <w:t xml:space="preserve">delivery</w:t>
      </w:r>
      <w:r>
        <w:t xml:space="preserve">: institutional adaptation of time, platform, task, participation mode, and assessment to the receiving context.</w:t>
      </w:r>
    </w:p>
    <w:p>
      <w:pPr>
        <w:pStyle w:val="FirstParagraph"/>
      </w:pPr>
      <w:r>
        <w:t xml:space="preserve">This analysis is concerned with the fourth. Localisation of delivery does not replace accessibility or digital inclusion; it names the institutional decisions through which access is made possible or closed off when a course moves—the timing of the class, the required application, the oral task, or the form of assessment. The questionnaire did not observe those institutional decisions. It recorded the learner-side conditions against which such decisions would have to be judged. The claim that follows is therefore conceptual rather than institutional: a course may be locally relevant in content but inaccessible in delivery. It is localised in delivery only when its required time, platform, participation mode, task design, and assessment are feasible where learners actually take part.</w:t>
      </w:r>
    </w:p>
    <w:p>
      <w:pPr>
        <w:pStyle w:val="BodyText"/>
      </w:pPr>
      <w:r>
        <w:t xml:space="preserve">Gong et al. (2020b) map ICLE in mainland China for 2014–2018 and are used here as a pre-pandemic field sketch, not as post-COVID evidence. Gao and Hua (2021) and Gong et al. (2020a) write about international students of Chinese</w:t>
      </w:r>
      <w:r>
        <w:t xml:space="preserve"> </w:t>
      </w:r>
      <w:r>
        <w:rPr>
          <w:iCs/>
          <w:i/>
        </w:rPr>
        <w:t xml:space="preserve">in</w:t>
      </w:r>
      <w:r>
        <w:t xml:space="preserve"> </w:t>
      </w:r>
      <w:r>
        <w:t xml:space="preserve">Chinese universities. Guenier, Xing and Yan (2026) describe a designed online Chinese-culture course, which is planned online teaching rather than emergency remote teaching. The respondents in the present study completed a Chinese-language questionnaire about online Chinese classes. They are not treated as a Confucius Institute classroom sample, and enrolment in a named Chinese university was not independently verified.</w:t>
      </w:r>
    </w:p>
    <w:bookmarkEnd w:id="24"/>
    <w:bookmarkStart w:id="25" w:name="conceptual-model"/>
    <w:p>
      <w:pPr>
        <w:pStyle w:val="Heading3"/>
      </w:pPr>
      <w:r>
        <w:t xml:space="preserve">2.4 Conceptual model</w:t>
      </w:r>
    </w:p>
    <w:p>
      <w:pPr>
        <w:pStyle w:val="FirstParagraph"/>
      </w:pPr>
      <w:r>
        <w:t xml:space="preserve">Figure 1 is offered as a reading model, not as a tested path. Household infrastructure and reported platform access are concurrent conditions of a travelling course and are interpreted as possible constraints on participation. Language investment is not part of the model.</w:t>
      </w:r>
    </w:p>
    <w:p>
      <w:pPr>
        <w:pStyle w:val="BodyText"/>
      </w:pPr>
      <w:r>
        <w:t xml:space="preserve">Figure 1. Localisation of delivery as delivery-context fit (reading model). Household infrastructure (power interruptions, network stability, speed) and reported platform access are concurrent conditions. They are interpreted as possible constraints on participation and on self-reported stress, interaction, appraisal, and replacement judgements. The figure is not a causal path.</w:t>
      </w:r>
    </w:p>
    <w:bookmarkEnd w:id="25"/>
    <w:bookmarkEnd w:id="26"/>
    <w:bookmarkStart w:id="32" w:name="the-study"/>
    <w:p>
      <w:pPr>
        <w:pStyle w:val="Heading2"/>
      </w:pPr>
      <w:r>
        <w:t xml:space="preserve">3. The study</w:t>
      </w:r>
    </w:p>
    <w:p>
      <w:pPr>
        <w:pStyle w:val="FirstParagraph"/>
      </w:pPr>
      <w:r>
        <w:t xml:space="preserve">The study is an exploratory, cross-sectional questionnaire. It does not test a pre-registered confirmatory model. What follows describes the instrument, the self-selected group who completed it, and the limits of what the questionnaire can support.</w:t>
      </w:r>
    </w:p>
    <w:bookmarkStart w:id="27" w:name="design-and-context"/>
    <w:p>
      <w:pPr>
        <w:pStyle w:val="Heading3"/>
      </w:pPr>
      <w:r>
        <w:t xml:space="preserve">3.1 Design and context</w:t>
      </w:r>
    </w:p>
    <w:p>
      <w:pPr>
        <w:pStyle w:val="FirstParagraph"/>
      </w:pPr>
      <w:r>
        <w:t xml:space="preserve">The instrument title on the Wenjuan export is 新冠肺炎期间留学生在线中文学习的影响因素 (Influencing factors in international students’ online Chinese learning during COVID-19). Complete cases were submitted between 5 and 8 February 2022 (N = 38). The form did not record how the link was circulated—whether through WeChat, WhatsApp, email, or student groups—so the recruitment channel cannot be named. Respondents were adults who completed the Chinese-language questionnaire about online Chinese learning. Completing that questionnaire is not treated as proof of enrolment in a Chinese university. The instrument did not ask host university, city of residence that week, degree versus non-degree status, or scholarship type. Two items asked whether required courses and electives were being taken online: 27 respondents (71.1%) reported required courses online, and 23 (60.5%) reported electives online. Those answers do not identify a named programme. The study therefore concerns a self-selected group of respondents reporting participation in online Chinese-language courses, not a verified enrolment record.</w:t>
      </w:r>
    </w:p>
    <w:bookmarkEnd w:id="27"/>
    <w:bookmarkStart w:id="28" w:name="participants"/>
    <w:p>
      <w:pPr>
        <w:pStyle w:val="Heading3"/>
      </w:pPr>
      <w:r>
        <w:t xml:space="preserve">3.2 Participants</w:t>
      </w:r>
    </w:p>
    <w:p>
      <w:pPr>
        <w:pStyle w:val="FirstParagraph"/>
      </w:pPr>
      <w:r>
        <w:t xml:space="preserve">Of the 38 respondents, 27 were men (71.1%) and 11 were women (28.9%). Thirty-seven selected Pakistani nationality and one selected another nationality. That nationality item is the only Pakistan connection in the dataset. The group is not described as verified Chinese-university enrolment, as Pakistan-resident learners, as CSC students, or as a national sample. Self-rated Chinese level was mostly advanced (22, 57.9%) or intermediate (15, 39.5%), with one beginner; the label is the student’s own, not an HSK band. Years of learning Chinese clustered at three to four years (26, 68.4%). Wenjuan submission metadata classified the operating system as iPhone (24, 63.2%) or Android (14). That variable is the device used to submit the form, not an item about all devices used for class.</w:t>
      </w:r>
    </w:p>
    <w:p>
      <w:pPr>
        <w:pStyle w:val="BodyText"/>
      </w:pPr>
      <w:r>
        <w:t xml:space="preserve">Wenjuan automatically recorded an IP-province field. A dummy was coded when that field was a mainland China province name (9 of 38). IP labels are technical metadata. They can be affected by virtual private networks and proxies, and they are not a reliable measure of physical location. They are not used as a participant-location variable and are not the basis of a sensitivity analysis. The dummy, submission dates, and device identifiers are not included in the public dataset.</w:t>
      </w:r>
    </w:p>
    <w:bookmarkEnd w:id="28"/>
    <w:bookmarkStart w:id="29" w:name="instrument-and-coding"/>
    <w:p>
      <w:pPr>
        <w:pStyle w:val="Heading3"/>
      </w:pPr>
      <w:r>
        <w:t xml:space="preserve">3.3 Instrument and coding</w:t>
      </w:r>
    </w:p>
    <w:p>
      <w:pPr>
        <w:pStyle w:val="FirstParagraph"/>
      </w:pPr>
      <w:r>
        <w:t xml:space="preserve">The questionnaire comprised about 30 items: demographics, single-choice ordinals, and multiple-response lists. Stems are in Chinese, with some non-native wording (for example 您尝尝用什么平台). English glosses are used for reporting. Self-rated Chinese proficiency was intermediate or advanced for 37 of 38 respondents. The instrument did not include a comprehension check, so completion of the Chinese-language questionnaire is treated only as evidence that respondents were willing to answer in Chinese. Item wording for the appraisal index is given in Appendix A.</w:t>
      </w:r>
    </w:p>
    <w:p>
      <w:pPr>
        <w:pStyle w:val="BodyText"/>
      </w:pPr>
      <w:r>
        <w:t xml:space="preserve">A three-item</w:t>
      </w:r>
      <w:r>
        <w:t xml:space="preserve"> </w:t>
      </w:r>
      <w:r>
        <w:rPr>
          <w:iCs/>
          <w:i/>
        </w:rPr>
        <w:t xml:space="preserve">perceived online-learning appraisal index</w:t>
      </w:r>
      <w:r>
        <w:t xml:space="preserve"> </w:t>
      </w:r>
      <w:r>
        <w:t xml:space="preserve">was formed from learned much (Q8), improves Chinese (Q9), and sparks interest (Q10). The items ask related but not identical questions and are treated as a descriptive index, not as a validated unidimensional scale. Internal consistency was acceptable in this sample (Cronbach’s α = .84); Spearman inter-item correlations ranged from .55 to .75 (Appendix B). Exploratory factor analysis was not used (N = 38). Individual items are also reported. One double-tick on</w:t>
      </w:r>
      <w:r>
        <w:t xml:space="preserve"> </w:t>
      </w:r>
      <w:r>
        <w:t xml:space="preserve">“</w:t>
      </w:r>
      <w:r>
        <w:t xml:space="preserve">like online classes</w:t>
      </w:r>
      <w:r>
        <w:t xml:space="preserve">”</w:t>
      </w:r>
      <w:r>
        <w:t xml:space="preserve"> </w:t>
      </w:r>
      <w:r>
        <w:t xml:space="preserve">was excluded for that item only (n = 37 valid).</w:t>
      </w:r>
    </w:p>
    <w:p>
      <w:pPr>
        <w:pStyle w:val="BodyText"/>
      </w:pPr>
      <w:r>
        <w:t xml:space="preserve">Coding follows the Wenjuan export. Higher values on speed, learned, improve, interest, and teacher interaction indicate a more negative report (worse speed; less learning, improvement, or interest; thinner interaction). Stress (Q24) is a four-category questionnaire item coded 1 = very high to 4 = none.</w:t>
      </w:r>
      <w:r>
        <w:t xml:space="preserve"> </w:t>
      </w:r>
      <w:r>
        <w:rPr>
          <w:iCs/>
          <w:i/>
        </w:rPr>
        <w:t xml:space="preserve">Very high stress</w:t>
      </w:r>
      <w:r>
        <w:t xml:space="preserve"> </w:t>
      </w:r>
      <w:r>
        <w:t xml:space="preserve">is that first category (非常高), not an analyst-created threshold or a cut on a multi-item scale. The focal stress analysis uses a dummy for this category and does not reverse the ordinal. Full coding directions are in Table A1.</w:t>
      </w:r>
    </w:p>
    <w:p>
      <w:pPr>
        <w:pStyle w:val="BodyText"/>
      </w:pPr>
      <w:r>
        <w:t xml:space="preserve">The export labelled one multiple-response problem as</w:t>
      </w:r>
      <w:r>
        <w:t xml:space="preserve"> </w:t>
      </w:r>
      <w:r>
        <w:t xml:space="preserve">“</w:t>
      </w:r>
      <w:r>
        <w:t xml:space="preserve">no electricity.</w:t>
      </w:r>
      <w:r>
        <w:t xml:space="preserve">”</w:t>
      </w:r>
      <w:r>
        <w:t xml:space="preserve"> </w:t>
      </w:r>
      <w:r>
        <w:t xml:space="preserve">References to load-shedding elsewhere in the article are contextual. In the results the item is reported as</w:t>
      </w:r>
      <w:r>
        <w:t xml:space="preserve"> </w:t>
      </w:r>
      <w:r>
        <w:rPr>
          <w:iCs/>
          <w:i/>
        </w:rPr>
        <w:t xml:space="preserve">power interruptions</w:t>
      </w:r>
      <w:r>
        <w:t xml:space="preserve"> </w:t>
      </w:r>
      <w:r>
        <w:t xml:space="preserve">(export label: no electricity).</w:t>
      </w:r>
      <w:r>
        <w:t xml:space="preserve"> </w:t>
      </w:r>
      <w:r>
        <w:t xml:space="preserve">“</w:t>
      </w:r>
      <w:r>
        <w:t xml:space="preserve">中国慕课</w:t>
      </w:r>
      <w:r>
        <w:t xml:space="preserve">”</w:t>
      </w:r>
      <w:r>
        <w:t xml:space="preserve"> </w:t>
      </w:r>
      <w:r>
        <w:t xml:space="preserve">is reported as printed on the form; the option did not name a single provider such as 中国大学MOOC.</w:t>
      </w:r>
    </w:p>
    <w:bookmarkEnd w:id="29"/>
    <w:bookmarkStart w:id="30" w:name="analysis"/>
    <w:p>
      <w:pPr>
        <w:pStyle w:val="Heading3"/>
      </w:pPr>
      <w:r>
        <w:t xml:space="preserve">3.4 Analysis</w:t>
      </w:r>
    </w:p>
    <w:p>
      <w:pPr>
        <w:pStyle w:val="FirstParagraph"/>
      </w:pPr>
      <w:r>
        <w:t xml:space="preserve">Frequencies are n/38 unless noted. Multiple-response items are the percentage who selected the option. Two associations were treated as focal: (a) home affects study very much × very high stress; and (b) internet speed × the appraisal index. For the 2 × 2 table we report cell counts and two-sided Fisher’s exact</w:t>
      </w:r>
      <w:r>
        <w:t xml:space="preserve"> </w:t>
      </w:r>
      <w:r>
        <w:rPr>
          <w:iCs/>
          <w:i/>
        </w:rPr>
        <w:t xml:space="preserve">p</w:t>
      </w:r>
      <w:r>
        <w:t xml:space="preserve"> </w:t>
      </w:r>
      <w:r>
        <w:t xml:space="preserve">(SciPy</w:t>
      </w:r>
      <w:r>
        <w:t xml:space="preserve"> </w:t>
      </w:r>
      <w:r>
        <w:rPr>
          <w:rStyle w:val="VerbatimChar"/>
        </w:rPr>
        <w:t xml:space="preserve">fisher_exact</w:t>
      </w:r>
      <w:r>
        <w:t xml:space="preserve">). Odds ratios and Wald confidence intervals are not reported: at N = 38 they are unstable, and a Wald interval can disagree with Fisher’s</w:t>
      </w:r>
      <w:r>
        <w:t xml:space="preserve"> </w:t>
      </w:r>
      <w:r>
        <w:rPr>
          <w:iCs/>
          <w:i/>
        </w:rPr>
        <w:t xml:space="preserve">p</w:t>
      </w:r>
      <w:r>
        <w:t xml:space="preserve">. For the ordinal pair we report Spearman’s ρ and a percentile bootstrap 95% confidence interval calculated from 5,000 resamples. Other associations, including gender, are secondary and are placed in Appendix B.</w:t>
      </w:r>
      <w:r>
        <w:t xml:space="preserve"> </w:t>
      </w:r>
      <w:r>
        <w:rPr>
          <w:iCs/>
          <w:i/>
        </w:rPr>
        <w:t xml:space="preserve">p</w:t>
      </w:r>
      <w:r>
        <w:t xml:space="preserve"> </w:t>
      </w:r>
      <w:r>
        <w:t xml:space="preserve">values are not adjusted for multiplicity and are not interpreted as confirmatory.</w:t>
      </w:r>
    </w:p>
    <w:p>
      <w:pPr>
        <w:pStyle w:val="BodyText"/>
      </w:pPr>
      <w:r>
        <w:t xml:space="preserve">A Pakistani-nationality check (n = 37) is reported only to show that dropping the one non-Pakistani case does not reverse the two focal associations. It is not a location analysis.</w:t>
      </w:r>
    </w:p>
    <w:bookmarkEnd w:id="30"/>
    <w:bookmarkStart w:id="31" w:name="ethics-and-data-protection"/>
    <w:p>
      <w:pPr>
        <w:pStyle w:val="Heading3"/>
      </w:pPr>
      <w:r>
        <w:t xml:space="preserve">3.5 Ethics and data protection</w:t>
      </w:r>
    </w:p>
    <w:p>
      <w:pPr>
        <w:pStyle w:val="FirstParagraph"/>
      </w:pPr>
      <w:r>
        <w:t xml:space="preserve">Adult respondents completed an online form presented as research on online Chinese learning. The form stated that answers would be used for research, and completion and submission were treated as consent. Names, IP addresses, exact timestamps, and device identifiers were removed before the public file was prepared.</w:t>
      </w:r>
    </w:p>
    <w:p>
      <w:pPr>
        <w:pStyle w:val="BodyText"/>
      </w:pPr>
      <w:r>
        <w:t xml:space="preserve">No institutional ethics approval number is available for the original 2022 data collection. The first author was then an M.Phil. student, and numbered approval was not obtained. This article reports an anonymised secondary analysis of that file.</w:t>
      </w:r>
    </w:p>
    <w:bookmarkEnd w:id="31"/>
    <w:bookmarkEnd w:id="32"/>
    <w:bookmarkStart w:id="37" w:name="results"/>
    <w:p>
      <w:pPr>
        <w:pStyle w:val="Heading2"/>
      </w:pPr>
      <w:r>
        <w:t xml:space="preserve">4. Results</w:t>
      </w:r>
    </w:p>
    <w:bookmarkStart w:id="33" w:name="respondents-and-reported-conditions"/>
    <w:p>
      <w:pPr>
        <w:pStyle w:val="Heading3"/>
      </w:pPr>
      <w:r>
        <w:t xml:space="preserve">4.1 Respondents and reported conditions</w:t>
      </w:r>
    </w:p>
    <w:p>
      <w:pPr>
        <w:pStyle w:val="FirstParagraph"/>
      </w:pPr>
      <w:r>
        <w:t xml:space="preserve">Table 1 locates the sample. Most respondents (78.9%) said all of their Chinese classes were online, and more than half (57.9%) reported working alongside study.</w:t>
      </w:r>
    </w:p>
    <w:p>
      <w:pPr>
        <w:pStyle w:val="BodyText"/>
      </w:pPr>
      <w:r>
        <w:rPr>
          <w:bCs/>
          <w:b/>
        </w:rPr>
        <w:t xml:space="preserve">Table 1</w:t>
      </w:r>
    </w:p>
    <w:p>
      <w:pPr>
        <w:pStyle w:val="BodyText"/>
      </w:pPr>
      <w:r>
        <w:rPr>
          <w:iCs/>
          <w:i/>
        </w:rPr>
        <w:t xml:space="preserve">Respondents (N = 38)</w:t>
      </w:r>
    </w:p>
    <w:tbl>
      <w:tblPr>
        <w:tblStyle w:val="Table"/>
        <w:tblW w:type="pct" w:w="5000"/>
        <w:tblLook w:firstRow="1" w:lastRow="0" w:firstColumn="0" w:lastColumn="0" w:noHBand="0" w:noVBand="0" w:val="0020"/>
        <w:jc w:val="start"/>
      </w:tblPr>
      <w:tblGrid>
        <w:gridCol w:w="2160"/>
        <w:gridCol w:w="2880"/>
        <w:gridCol w:w="2880"/>
      </w:tblGrid>
      <w:tr>
        <w:trPr>
          <w:tblHeader w:val="true"/>
        </w:trPr>
        <w:tc>
          <w:tcPr/>
          <w:p>
            <w:pPr>
              <w:pStyle w:val="Compact"/>
              <w:jc w:val="left"/>
            </w:pPr>
            <w:r>
              <w:t xml:space="preserve">Variable</w:t>
            </w:r>
          </w:p>
        </w:tc>
        <w:tc>
          <w:tcPr/>
          <w:p>
            <w:pPr>
              <w:pStyle w:val="Compact"/>
              <w:jc w:val="right"/>
            </w:pPr>
            <w:r>
              <w:t xml:space="preserve">n</w:t>
            </w:r>
          </w:p>
        </w:tc>
        <w:tc>
          <w:tcPr/>
          <w:p>
            <w:pPr>
              <w:pStyle w:val="Compact"/>
              <w:jc w:val="right"/>
            </w:pPr>
            <w:r>
              <w:t xml:space="preserve">%</w:t>
            </w:r>
          </w:p>
        </w:tc>
      </w:tr>
      <w:tr>
        <w:tc>
          <w:tcPr/>
          <w:p>
            <w:pPr>
              <w:pStyle w:val="Compact"/>
              <w:jc w:val="left"/>
            </w:pPr>
            <w:r>
              <w:t xml:space="preserve">Male</w:t>
            </w:r>
          </w:p>
        </w:tc>
        <w:tc>
          <w:tcPr/>
          <w:p>
            <w:pPr>
              <w:pStyle w:val="Compact"/>
              <w:jc w:val="right"/>
            </w:pPr>
            <w:r>
              <w:t xml:space="preserve">27</w:t>
            </w:r>
          </w:p>
        </w:tc>
        <w:tc>
          <w:tcPr/>
          <w:p>
            <w:pPr>
              <w:pStyle w:val="Compact"/>
              <w:jc w:val="right"/>
            </w:pPr>
            <w:r>
              <w:t xml:space="preserve">71.1</w:t>
            </w:r>
          </w:p>
        </w:tc>
      </w:tr>
      <w:tr>
        <w:tc>
          <w:tcPr/>
          <w:p>
            <w:pPr>
              <w:pStyle w:val="Compact"/>
              <w:jc w:val="left"/>
            </w:pPr>
            <w:r>
              <w:t xml:space="preserve">Female</w:t>
            </w:r>
          </w:p>
        </w:tc>
        <w:tc>
          <w:tcPr/>
          <w:p>
            <w:pPr>
              <w:pStyle w:val="Compact"/>
              <w:jc w:val="right"/>
            </w:pPr>
            <w:r>
              <w:t xml:space="preserve">11</w:t>
            </w:r>
          </w:p>
        </w:tc>
        <w:tc>
          <w:tcPr/>
          <w:p>
            <w:pPr>
              <w:pStyle w:val="Compact"/>
              <w:jc w:val="right"/>
            </w:pPr>
            <w:r>
              <w:t xml:space="preserve">28.9</w:t>
            </w:r>
          </w:p>
        </w:tc>
      </w:tr>
      <w:tr>
        <w:tc>
          <w:tcPr/>
          <w:p>
            <w:pPr>
              <w:pStyle w:val="Compact"/>
              <w:jc w:val="left"/>
            </w:pPr>
            <w:r>
              <w:t xml:space="preserve">Pakistani nationality</w:t>
            </w:r>
          </w:p>
        </w:tc>
        <w:tc>
          <w:tcPr/>
          <w:p>
            <w:pPr>
              <w:pStyle w:val="Compact"/>
              <w:jc w:val="right"/>
            </w:pPr>
            <w:r>
              <w:t xml:space="preserve">37</w:t>
            </w:r>
          </w:p>
        </w:tc>
        <w:tc>
          <w:tcPr/>
          <w:p>
            <w:pPr>
              <w:pStyle w:val="Compact"/>
              <w:jc w:val="right"/>
            </w:pPr>
            <w:r>
              <w:t xml:space="preserve">97.4</w:t>
            </w:r>
          </w:p>
        </w:tc>
      </w:tr>
      <w:tr>
        <w:tc>
          <w:tcPr/>
          <w:p>
            <w:pPr>
              <w:pStyle w:val="Compact"/>
              <w:jc w:val="left"/>
            </w:pPr>
            <w:r>
              <w:t xml:space="preserve">Other</w:t>
            </w:r>
          </w:p>
        </w:tc>
        <w:tc>
          <w:tcPr/>
          <w:p>
            <w:pPr>
              <w:pStyle w:val="Compact"/>
              <w:jc w:val="right"/>
            </w:pPr>
            <w:r>
              <w:t xml:space="preserve">1</w:t>
            </w:r>
          </w:p>
        </w:tc>
        <w:tc>
          <w:tcPr/>
          <w:p>
            <w:pPr>
              <w:pStyle w:val="Compact"/>
              <w:jc w:val="right"/>
            </w:pPr>
            <w:r>
              <w:t xml:space="preserve">2.6</w:t>
            </w:r>
          </w:p>
        </w:tc>
      </w:tr>
      <w:tr>
        <w:tc>
          <w:tcPr/>
          <w:p>
            <w:pPr>
              <w:pStyle w:val="Compact"/>
              <w:jc w:val="left"/>
            </w:pPr>
            <w:r>
              <w:t xml:space="preserve">Beginner / intermediate / advanced Chinese (self-rating)</w:t>
            </w:r>
          </w:p>
        </w:tc>
        <w:tc>
          <w:tcPr/>
          <w:p>
            <w:pPr>
              <w:pStyle w:val="Compact"/>
              <w:jc w:val="right"/>
            </w:pPr>
            <w:r>
              <w:t xml:space="preserve">1 / 15 / 22</w:t>
            </w:r>
          </w:p>
        </w:tc>
        <w:tc>
          <w:tcPr/>
          <w:p>
            <w:pPr>
              <w:pStyle w:val="Compact"/>
              <w:jc w:val="right"/>
            </w:pPr>
            <w:r>
              <w:t xml:space="preserve">2.6 / 39.5 / 57.9</w:t>
            </w:r>
          </w:p>
        </w:tc>
      </w:tr>
      <w:tr>
        <w:tc>
          <w:tcPr/>
          <w:p>
            <w:pPr>
              <w:pStyle w:val="Compact"/>
              <w:jc w:val="left"/>
            </w:pPr>
            <w:r>
              <w:t xml:space="preserve">Years of Chinese: 1 to 2 / 3 to 4 / 5 to 6 / 6+</w:t>
            </w:r>
          </w:p>
        </w:tc>
        <w:tc>
          <w:tcPr/>
          <w:p>
            <w:pPr>
              <w:pStyle w:val="Compact"/>
              <w:jc w:val="right"/>
            </w:pPr>
            <w:r>
              <w:t xml:space="preserve">3 / 26 / 8 / 1</w:t>
            </w:r>
          </w:p>
        </w:tc>
        <w:tc>
          <w:tcPr/>
          <w:p>
            <w:pPr>
              <w:pStyle w:val="Compact"/>
              <w:jc w:val="right"/>
            </w:pPr>
            <w:r>
              <w:t xml:space="preserve">7.9 / 68.4 / 21.1 / 2.6</w:t>
            </w:r>
          </w:p>
        </w:tc>
      </w:tr>
      <w:tr>
        <w:tc>
          <w:tcPr/>
          <w:p>
            <w:pPr>
              <w:pStyle w:val="Compact"/>
              <w:jc w:val="left"/>
            </w:pPr>
            <w:r>
              <w:t xml:space="preserve">All Chinese classes online</w:t>
            </w:r>
          </w:p>
        </w:tc>
        <w:tc>
          <w:tcPr/>
          <w:p>
            <w:pPr>
              <w:pStyle w:val="Compact"/>
              <w:jc w:val="right"/>
            </w:pPr>
            <w:r>
              <w:t xml:space="preserve">30</w:t>
            </w:r>
          </w:p>
        </w:tc>
        <w:tc>
          <w:tcPr/>
          <w:p>
            <w:pPr>
              <w:pStyle w:val="Compact"/>
              <w:jc w:val="right"/>
            </w:pPr>
            <w:r>
              <w:t xml:space="preserve">78.9</w:t>
            </w:r>
          </w:p>
        </w:tc>
      </w:tr>
      <w:tr>
        <w:tc>
          <w:tcPr/>
          <w:p>
            <w:pPr>
              <w:pStyle w:val="Compact"/>
              <w:jc w:val="left"/>
            </w:pPr>
            <w:r>
              <w:t xml:space="preserve">Working while studying</w:t>
            </w:r>
          </w:p>
        </w:tc>
        <w:tc>
          <w:tcPr/>
          <w:p>
            <w:pPr>
              <w:pStyle w:val="Compact"/>
              <w:jc w:val="right"/>
            </w:pPr>
            <w:r>
              <w:t xml:space="preserve">22</w:t>
            </w:r>
          </w:p>
        </w:tc>
        <w:tc>
          <w:tcPr/>
          <w:p>
            <w:pPr>
              <w:pStyle w:val="Compact"/>
              <w:jc w:val="right"/>
            </w:pPr>
            <w:r>
              <w:t xml:space="preserve">57.9</w:t>
            </w:r>
          </w:p>
        </w:tc>
      </w:tr>
      <w:tr>
        <w:tc>
          <w:tcPr/>
          <w:p>
            <w:pPr>
              <w:pStyle w:val="Compact"/>
              <w:jc w:val="left"/>
            </w:pPr>
            <w:r>
              <w:t xml:space="preserve">Submission device: iPhone / Android</w:t>
            </w:r>
          </w:p>
        </w:tc>
        <w:tc>
          <w:tcPr/>
          <w:p>
            <w:pPr>
              <w:pStyle w:val="Compact"/>
              <w:jc w:val="right"/>
            </w:pPr>
            <w:r>
              <w:t xml:space="preserve">24 / 14</w:t>
            </w:r>
          </w:p>
        </w:tc>
        <w:tc>
          <w:tcPr/>
          <w:p>
            <w:pPr>
              <w:pStyle w:val="Compact"/>
              <w:jc w:val="right"/>
            </w:pPr>
            <w:r>
              <w:t xml:space="preserve">63.2 / 36.8</w:t>
            </w:r>
          </w:p>
        </w:tc>
      </w:tr>
      <w:tr>
        <w:tc>
          <w:tcPr/>
          <w:p>
            <w:pPr>
              <w:pStyle w:val="Compact"/>
              <w:jc w:val="left"/>
            </w:pPr>
            <w:r>
              <w:t xml:space="preserve">Total</w:t>
            </w:r>
          </w:p>
        </w:tc>
        <w:tc>
          <w:tcPr/>
          <w:p>
            <w:pPr>
              <w:pStyle w:val="Compact"/>
              <w:jc w:val="right"/>
            </w:pPr>
            <w:r>
              <w:t xml:space="preserve">38</w:t>
            </w:r>
          </w:p>
        </w:tc>
        <w:tc>
          <w:tcPr/>
          <w:p>
            <w:pPr>
              <w:pStyle w:val="Compact"/>
              <w:jc w:val="right"/>
            </w:pPr>
            <w:r>
              <w:t xml:space="preserve">100</w:t>
            </w:r>
          </w:p>
        </w:tc>
      </w:tr>
    </w:tbl>
    <w:p>
      <w:pPr>
        <w:pStyle w:val="BodyText"/>
      </w:pPr>
      <w:r>
        <w:rPr>
          <w:iCs/>
          <w:i/>
        </w:rPr>
        <w:t xml:space="preserve">Note.</w:t>
      </w:r>
      <w:r>
        <w:t xml:space="preserve"> </w:t>
      </w:r>
      <w:r>
        <w:t xml:space="preserve">Convenience sample, Wenjuan, 5 to 8 February 2022. Device is the operating system recorded at submission, reported only as an aggregate.</w:t>
      </w:r>
    </w:p>
    <w:p>
      <w:pPr>
        <w:pStyle w:val="BodyText"/>
      </w:pPr>
      <w:r>
        <w:t xml:space="preserve">Table 2 summarises the conditions respondents reported. Unstable networks (76.3%) and power interruptions (42.1%) were common. Speed was split: 36.8% good or very good, 36.8% average, and 26.3% bad or very bad. Four respondents (10.5%) said their country did not have internet, yet all 38 submitted an online form. The item wording does not allow a firm reinterpretation, so the response is reported as given. Only 11 of 38 (28.9%) described the home as quiet.</w:t>
      </w:r>
    </w:p>
    <w:p>
      <w:pPr>
        <w:pStyle w:val="BodyText"/>
      </w:pPr>
      <w:r>
        <w:rPr>
          <w:bCs/>
          <w:b/>
        </w:rPr>
        <w:t xml:space="preserve">Table 2</w:t>
      </w:r>
    </w:p>
    <w:p>
      <w:pPr>
        <w:pStyle w:val="BodyText"/>
      </w:pPr>
      <w:r>
        <w:rPr>
          <w:iCs/>
          <w:i/>
        </w:rPr>
        <w:t xml:space="preserve">Reported conditions and selected outcomes (N = 38)</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Indicator</w:t>
            </w:r>
          </w:p>
        </w:tc>
        <w:tc>
          <w:tcPr/>
          <w:p>
            <w:pPr>
              <w:pStyle w:val="Compact"/>
              <w:jc w:val="right"/>
            </w:pPr>
            <w:r>
              <w:t xml:space="preserve">n</w:t>
            </w:r>
          </w:p>
        </w:tc>
        <w:tc>
          <w:tcPr/>
          <w:p>
            <w:pPr>
              <w:pStyle w:val="Compact"/>
              <w:jc w:val="right"/>
            </w:pPr>
            <w:r>
              <w:t xml:space="preserve">%</w:t>
            </w:r>
          </w:p>
        </w:tc>
      </w:tr>
      <w:tr>
        <w:tc>
          <w:tcPr/>
          <w:p>
            <w:pPr>
              <w:pStyle w:val="Compact"/>
              <w:jc w:val="left"/>
            </w:pPr>
            <w:r>
              <w:t xml:space="preserve">Unstable network</w:t>
            </w:r>
          </w:p>
        </w:tc>
        <w:tc>
          <w:tcPr/>
          <w:p>
            <w:pPr>
              <w:pStyle w:val="Compact"/>
              <w:jc w:val="right"/>
            </w:pPr>
            <w:r>
              <w:t xml:space="preserve">29</w:t>
            </w:r>
          </w:p>
        </w:tc>
        <w:tc>
          <w:tcPr/>
          <w:p>
            <w:pPr>
              <w:pStyle w:val="Compact"/>
              <w:jc w:val="right"/>
            </w:pPr>
            <w:r>
              <w:t xml:space="preserve">76.3</w:t>
            </w:r>
          </w:p>
        </w:tc>
      </w:tr>
      <w:tr>
        <w:tc>
          <w:tcPr/>
          <w:p>
            <w:pPr>
              <w:pStyle w:val="Compact"/>
              <w:jc w:val="left"/>
            </w:pPr>
            <w:r>
              <w:t xml:space="preserve">Power interruptions (export label: no electricity)</w:t>
            </w:r>
          </w:p>
        </w:tc>
        <w:tc>
          <w:tcPr/>
          <w:p>
            <w:pPr>
              <w:pStyle w:val="Compact"/>
              <w:jc w:val="right"/>
            </w:pPr>
            <w:r>
              <w:t xml:space="preserve">16</w:t>
            </w:r>
          </w:p>
        </w:tc>
        <w:tc>
          <w:tcPr/>
          <w:p>
            <w:pPr>
              <w:pStyle w:val="Compact"/>
              <w:jc w:val="right"/>
            </w:pPr>
            <w:r>
              <w:t xml:space="preserve">42.1</w:t>
            </w:r>
          </w:p>
        </w:tc>
      </w:tr>
      <w:tr>
        <w:tc>
          <w:tcPr/>
          <w:p>
            <w:pPr>
              <w:pStyle w:val="Compact"/>
              <w:jc w:val="left"/>
            </w:pPr>
            <w:r>
              <w:t xml:space="preserve">No signal</w:t>
            </w:r>
          </w:p>
        </w:tc>
        <w:tc>
          <w:tcPr/>
          <w:p>
            <w:pPr>
              <w:pStyle w:val="Compact"/>
              <w:jc w:val="right"/>
            </w:pPr>
            <w:r>
              <w:t xml:space="preserve">12</w:t>
            </w:r>
          </w:p>
        </w:tc>
        <w:tc>
          <w:tcPr/>
          <w:p>
            <w:pPr>
              <w:pStyle w:val="Compact"/>
              <w:jc w:val="right"/>
            </w:pPr>
            <w:r>
              <w:t xml:space="preserve">31.6</w:t>
            </w:r>
          </w:p>
        </w:tc>
      </w:tr>
      <w:tr>
        <w:tc>
          <w:tcPr/>
          <w:p>
            <w:pPr>
              <w:pStyle w:val="Compact"/>
              <w:jc w:val="left"/>
            </w:pPr>
            <w:r>
              <w:t xml:space="preserve">Internet speed poor or very poor</w:t>
            </w:r>
          </w:p>
        </w:tc>
        <w:tc>
          <w:tcPr/>
          <w:p>
            <w:pPr>
              <w:pStyle w:val="Compact"/>
              <w:jc w:val="right"/>
            </w:pPr>
            <w:r>
              <w:t xml:space="preserve">10</w:t>
            </w:r>
          </w:p>
        </w:tc>
        <w:tc>
          <w:tcPr/>
          <w:p>
            <w:pPr>
              <w:pStyle w:val="Compact"/>
              <w:jc w:val="right"/>
            </w:pPr>
            <w:r>
              <w:t xml:space="preserve">26.3</w:t>
            </w:r>
          </w:p>
        </w:tc>
      </w:tr>
      <w:tr>
        <w:tc>
          <w:tcPr/>
          <w:p>
            <w:pPr>
              <w:pStyle w:val="Compact"/>
              <w:jc w:val="left"/>
            </w:pPr>
            <w:r>
              <w:t xml:space="preserve">Home not quiet</w:t>
            </w:r>
          </w:p>
        </w:tc>
        <w:tc>
          <w:tcPr/>
          <w:p>
            <w:pPr>
              <w:pStyle w:val="Compact"/>
              <w:jc w:val="right"/>
            </w:pPr>
            <w:r>
              <w:t xml:space="preserve">27</w:t>
            </w:r>
          </w:p>
        </w:tc>
        <w:tc>
          <w:tcPr/>
          <w:p>
            <w:pPr>
              <w:pStyle w:val="Compact"/>
              <w:jc w:val="right"/>
            </w:pPr>
            <w:r>
              <w:t xml:space="preserve">71.1</w:t>
            </w:r>
          </w:p>
        </w:tc>
      </w:tr>
      <w:tr>
        <w:tc>
          <w:tcPr/>
          <w:p>
            <w:pPr>
              <w:pStyle w:val="Compact"/>
              <w:jc w:val="left"/>
            </w:pPr>
            <w:r>
              <w:t xml:space="preserve">Home affects study very much</w:t>
            </w:r>
          </w:p>
        </w:tc>
        <w:tc>
          <w:tcPr/>
          <w:p>
            <w:pPr>
              <w:pStyle w:val="Compact"/>
              <w:jc w:val="right"/>
            </w:pPr>
            <w:r>
              <w:t xml:space="preserve">14</w:t>
            </w:r>
          </w:p>
        </w:tc>
        <w:tc>
          <w:tcPr/>
          <w:p>
            <w:pPr>
              <w:pStyle w:val="Compact"/>
              <w:jc w:val="right"/>
            </w:pPr>
            <w:r>
              <w:t xml:space="preserve">36.8</w:t>
            </w:r>
          </w:p>
        </w:tc>
      </w:tr>
      <w:tr>
        <w:tc>
          <w:tcPr/>
          <w:p>
            <w:pPr>
              <w:pStyle w:val="Compact"/>
              <w:jc w:val="left"/>
            </w:pPr>
            <w:r>
              <w:t xml:space="preserve">Very high psychological stress</w:t>
            </w:r>
          </w:p>
        </w:tc>
        <w:tc>
          <w:tcPr/>
          <w:p>
            <w:pPr>
              <w:pStyle w:val="Compact"/>
              <w:jc w:val="right"/>
            </w:pPr>
            <w:r>
              <w:t xml:space="preserve">14</w:t>
            </w:r>
          </w:p>
        </w:tc>
        <w:tc>
          <w:tcPr/>
          <w:p>
            <w:pPr>
              <w:pStyle w:val="Compact"/>
              <w:jc w:val="right"/>
            </w:pPr>
            <w:r>
              <w:t xml:space="preserve">36.8</w:t>
            </w:r>
          </w:p>
        </w:tc>
      </w:tr>
      <w:tr>
        <w:tc>
          <w:tcPr/>
          <w:p>
            <w:pPr>
              <w:pStyle w:val="Compact"/>
              <w:jc w:val="left"/>
            </w:pPr>
            <w:r>
              <w:t xml:space="preserve">Online cannot replace face-to-face</w:t>
            </w:r>
          </w:p>
        </w:tc>
        <w:tc>
          <w:tcPr/>
          <w:p>
            <w:pPr>
              <w:pStyle w:val="Compact"/>
              <w:jc w:val="right"/>
            </w:pPr>
            <w:r>
              <w:t xml:space="preserve">19</w:t>
            </w:r>
          </w:p>
        </w:tc>
        <w:tc>
          <w:tcPr/>
          <w:p>
            <w:pPr>
              <w:pStyle w:val="Compact"/>
              <w:jc w:val="right"/>
            </w:pPr>
            <w:r>
              <w:t xml:space="preserve">50.0</w:t>
            </w:r>
          </w:p>
        </w:tc>
      </w:tr>
      <w:tr>
        <w:tc>
          <w:tcPr/>
          <w:p>
            <w:pPr>
              <w:pStyle w:val="Compact"/>
              <w:jc w:val="left"/>
            </w:pPr>
            <w:r>
              <w:t xml:space="preserve">Learned little or nothing online</w:t>
            </w:r>
          </w:p>
        </w:tc>
        <w:tc>
          <w:tcPr/>
          <w:p>
            <w:pPr>
              <w:pStyle w:val="Compact"/>
              <w:jc w:val="right"/>
            </w:pPr>
            <w:r>
              <w:t xml:space="preserve">11</w:t>
            </w:r>
          </w:p>
        </w:tc>
        <w:tc>
          <w:tcPr/>
          <w:p>
            <w:pPr>
              <w:pStyle w:val="Compact"/>
              <w:jc w:val="right"/>
            </w:pPr>
            <w:r>
              <w:t xml:space="preserve">28.9</w:t>
            </w:r>
          </w:p>
        </w:tc>
      </w:tr>
    </w:tbl>
    <w:p>
      <w:pPr>
        <w:pStyle w:val="BodyText"/>
      </w:pPr>
      <w:r>
        <w:t xml:space="preserve">Among those who said the home affected study very much, 11 of 14 also selected</w:t>
      </w:r>
      <w:r>
        <w:t xml:space="preserve"> </w:t>
      </w:r>
      <w:r>
        <w:t xml:space="preserve">“</w:t>
      </w:r>
      <w:r>
        <w:t xml:space="preserve">very high</w:t>
      </w:r>
      <w:r>
        <w:t xml:space="preserve">”</w:t>
      </w:r>
      <w:r>
        <w:t xml:space="preserve"> </w:t>
      </w:r>
      <w:r>
        <w:t xml:space="preserve">psychological stress; among the others, 3 of 24 did (two-sided Fisher’s exact</w:t>
      </w:r>
      <w:r>
        <w:t xml:space="preserve"> </w:t>
      </w:r>
      <w:r>
        <w:rPr>
          <w:iCs/>
          <w:i/>
        </w:rPr>
        <w:t xml:space="preserve">p</w:t>
      </w:r>
      <w:r>
        <w:t xml:space="preserve"> </w:t>
      </w:r>
      <w:r>
        <w:t xml:space="preserve">= .00008). That is a co-occurrence in this dataset, not evidence that the household caused stress. Descriptively, 36.8% of the sample selected the very-high-stress category.</w:t>
      </w:r>
    </w:p>
    <w:bookmarkEnd w:id="33"/>
    <w:bookmarkStart w:id="34" w:name="reported-platform-access"/>
    <w:p>
      <w:pPr>
        <w:pStyle w:val="Heading3"/>
      </w:pPr>
      <w:r>
        <w:t xml:space="preserve">4.2 Reported platform access</w:t>
      </w:r>
    </w:p>
    <w:p>
      <w:pPr>
        <w:pStyle w:val="FirstParagraph"/>
      </w:pPr>
      <w:r>
        <w:t xml:space="preserve">Respondents reported uneven access to institutionally familiar and consumer-facing platforms (Table 3). The pattern is read as a possible platform-geography dimension of delivery-context fit. The questionnaire cannot isolate country restrictions, routing, account rules, skills, or virtual private networks.</w:t>
      </w:r>
    </w:p>
    <w:p>
      <w:pPr>
        <w:pStyle w:val="BodyText"/>
      </w:pPr>
      <w:r>
        <w:t xml:space="preserve">The tools reported as used for class were Tencent Meeting (71.1%), Zoom (47.4%), and WeChat (31.6%). Those marked unusable</w:t>
      </w:r>
      <w:r>
        <w:t xml:space="preserve"> </w:t>
      </w:r>
      <w:r>
        <w:t xml:space="preserve">“</w:t>
      </w:r>
      <w:r>
        <w:t xml:space="preserve">in my country</w:t>
      </w:r>
      <w:r>
        <w:t xml:space="preserve">”</w:t>
      </w:r>
      <w:r>
        <w:t xml:space="preserve"> </w:t>
      </w:r>
      <w:r>
        <w:t xml:space="preserve">included QQ (50.0%), Chaoxing (42.1%), DingTalk (28.9%), and 中国慕课 (28.9%). Those marked available included Zoom (71.1%), WhatsApp (68.4%), Tencent Meeting (57.9%), and WeChat (39.5%). WhatsApp appears only as available; the retained form did not code whether it was used for class. Tencent Meeting was the most used class tool but was marked available by fewer respondents, a discrepancy left as an item-level inconsistency.</w:t>
      </w:r>
    </w:p>
    <w:p>
      <w:pPr>
        <w:pStyle w:val="BodyText"/>
      </w:pPr>
      <w:r>
        <w:rPr>
          <w:bCs/>
          <w:b/>
        </w:rPr>
        <w:t xml:space="preserve">Table 3</w:t>
      </w:r>
    </w:p>
    <w:p>
      <w:pPr>
        <w:pStyle w:val="BodyText"/>
      </w:pPr>
      <w:r>
        <w:rPr>
          <w:iCs/>
          <w:i/>
        </w:rPr>
        <w:t xml:space="preserve">Reported use and perceived availability of platforms (multiple response, N = 38)</w:t>
      </w:r>
    </w:p>
    <w:tbl>
      <w:tblPr>
        <w:tblStyle w:val="Table"/>
        <w:tblW w:type="pct" w:w="5000"/>
        <w:tblLook w:firstRow="1" w:lastRow="0" w:firstColumn="0" w:lastColumn="0" w:noHBand="0" w:noVBand="0" w:val="0020"/>
        <w:jc w:val="start"/>
      </w:tblPr>
      <w:tblGrid>
        <w:gridCol w:w="1584"/>
        <w:gridCol w:w="2112"/>
        <w:gridCol w:w="2112"/>
        <w:gridCol w:w="2112"/>
      </w:tblGrid>
      <w:tr>
        <w:trPr>
          <w:tblHeader w:val="true"/>
        </w:trPr>
        <w:tc>
          <w:tcPr/>
          <w:p>
            <w:pPr>
              <w:pStyle w:val="Compact"/>
              <w:jc w:val="left"/>
            </w:pPr>
            <w:r>
              <w:t xml:space="preserve">Platform</w:t>
            </w:r>
          </w:p>
        </w:tc>
        <w:tc>
          <w:tcPr/>
          <w:p>
            <w:pPr>
              <w:pStyle w:val="Compact"/>
              <w:jc w:val="right"/>
            </w:pPr>
            <w:r>
              <w:t xml:space="preserve">Used for class</w:t>
            </w:r>
          </w:p>
        </w:tc>
        <w:tc>
          <w:tcPr/>
          <w:p>
            <w:pPr>
              <w:pStyle w:val="Compact"/>
              <w:jc w:val="right"/>
            </w:pPr>
            <w:r>
              <w:t xml:space="preserve">Marked unusable in my country</w:t>
            </w:r>
          </w:p>
        </w:tc>
        <w:tc>
          <w:tcPr/>
          <w:p>
            <w:pPr>
              <w:pStyle w:val="Compact"/>
              <w:jc w:val="right"/>
            </w:pPr>
            <w:r>
              <w:t xml:space="preserve">Can use in my country</w:t>
            </w:r>
          </w:p>
        </w:tc>
      </w:tr>
      <w:tr>
        <w:tc>
          <w:tcPr/>
          <w:p>
            <w:pPr>
              <w:pStyle w:val="Compact"/>
              <w:jc w:val="left"/>
            </w:pPr>
            <w:r>
              <w:t xml:space="preserve">Tencent Meeting</w:t>
            </w:r>
          </w:p>
        </w:tc>
        <w:tc>
          <w:tcPr/>
          <w:p>
            <w:pPr>
              <w:pStyle w:val="Compact"/>
              <w:jc w:val="right"/>
            </w:pPr>
            <w:r>
              <w:t xml:space="preserve">71.1</w:t>
            </w:r>
          </w:p>
        </w:tc>
        <w:tc>
          <w:tcPr/>
          <w:p>
            <w:pPr>
              <w:pStyle w:val="Compact"/>
              <w:jc w:val="right"/>
            </w:pPr>
            <w:r>
              <w:t xml:space="preserve">n.a.</w:t>
            </w:r>
          </w:p>
        </w:tc>
        <w:tc>
          <w:tcPr/>
          <w:p>
            <w:pPr>
              <w:pStyle w:val="Compact"/>
              <w:jc w:val="right"/>
            </w:pPr>
            <w:r>
              <w:t xml:space="preserve">57.9</w:t>
            </w:r>
          </w:p>
        </w:tc>
      </w:tr>
      <w:tr>
        <w:tc>
          <w:tcPr/>
          <w:p>
            <w:pPr>
              <w:pStyle w:val="Compact"/>
              <w:jc w:val="left"/>
            </w:pPr>
            <w:r>
              <w:t xml:space="preserve">Zoom</w:t>
            </w:r>
          </w:p>
        </w:tc>
        <w:tc>
          <w:tcPr/>
          <w:p>
            <w:pPr>
              <w:pStyle w:val="Compact"/>
              <w:jc w:val="right"/>
            </w:pPr>
            <w:r>
              <w:t xml:space="preserve">47.4</w:t>
            </w:r>
          </w:p>
        </w:tc>
        <w:tc>
          <w:tcPr/>
          <w:p>
            <w:pPr>
              <w:pStyle w:val="Compact"/>
              <w:jc w:val="right"/>
            </w:pPr>
            <w:r>
              <w:t xml:space="preserve">n.a.</w:t>
            </w:r>
          </w:p>
        </w:tc>
        <w:tc>
          <w:tcPr/>
          <w:p>
            <w:pPr>
              <w:pStyle w:val="Compact"/>
              <w:jc w:val="right"/>
            </w:pPr>
            <w:r>
              <w:t xml:space="preserve">71.1</w:t>
            </w:r>
          </w:p>
        </w:tc>
      </w:tr>
      <w:tr>
        <w:tc>
          <w:tcPr/>
          <w:p>
            <w:pPr>
              <w:pStyle w:val="Compact"/>
              <w:jc w:val="left"/>
            </w:pPr>
            <w:r>
              <w:t xml:space="preserve">WeChat</w:t>
            </w:r>
          </w:p>
        </w:tc>
        <w:tc>
          <w:tcPr/>
          <w:p>
            <w:pPr>
              <w:pStyle w:val="Compact"/>
              <w:jc w:val="right"/>
            </w:pPr>
            <w:r>
              <w:t xml:space="preserve">31.6</w:t>
            </w:r>
          </w:p>
        </w:tc>
        <w:tc>
          <w:tcPr/>
          <w:p>
            <w:pPr>
              <w:pStyle w:val="Compact"/>
              <w:jc w:val="right"/>
            </w:pPr>
            <w:r>
              <w:t xml:space="preserve">n.a.</w:t>
            </w:r>
          </w:p>
        </w:tc>
        <w:tc>
          <w:tcPr/>
          <w:p>
            <w:pPr>
              <w:pStyle w:val="Compact"/>
              <w:jc w:val="right"/>
            </w:pPr>
            <w:r>
              <w:t xml:space="preserve">39.5</w:t>
            </w:r>
          </w:p>
        </w:tc>
      </w:tr>
      <w:tr>
        <w:tc>
          <w:tcPr/>
          <w:p>
            <w:pPr>
              <w:pStyle w:val="Compact"/>
              <w:jc w:val="left"/>
            </w:pPr>
            <w:r>
              <w:t xml:space="preserve">WhatsApp</w:t>
            </w:r>
          </w:p>
        </w:tc>
        <w:tc>
          <w:tcPr/>
          <w:p>
            <w:pPr>
              <w:pStyle w:val="Compact"/>
              <w:jc w:val="right"/>
            </w:pPr>
            <w:r>
              <w:t xml:space="preserve">n.a.</w:t>
            </w:r>
          </w:p>
        </w:tc>
        <w:tc>
          <w:tcPr/>
          <w:p>
            <w:pPr>
              <w:pStyle w:val="Compact"/>
              <w:jc w:val="right"/>
            </w:pPr>
            <w:r>
              <w:t xml:space="preserve">n.a.</w:t>
            </w:r>
          </w:p>
        </w:tc>
        <w:tc>
          <w:tcPr/>
          <w:p>
            <w:pPr>
              <w:pStyle w:val="Compact"/>
              <w:jc w:val="right"/>
            </w:pPr>
            <w:r>
              <w:t xml:space="preserve">68.4</w:t>
            </w:r>
          </w:p>
        </w:tc>
      </w:tr>
      <w:tr>
        <w:tc>
          <w:tcPr/>
          <w:p>
            <w:pPr>
              <w:pStyle w:val="Compact"/>
              <w:jc w:val="left"/>
            </w:pPr>
            <w:r>
              <w:t xml:space="preserve">QQ</w:t>
            </w:r>
          </w:p>
        </w:tc>
        <w:tc>
          <w:tcPr/>
          <w:p>
            <w:pPr>
              <w:pStyle w:val="Compact"/>
              <w:jc w:val="right"/>
            </w:pPr>
            <w:r>
              <w:t xml:space="preserve">n.a.</w:t>
            </w:r>
          </w:p>
        </w:tc>
        <w:tc>
          <w:tcPr/>
          <w:p>
            <w:pPr>
              <w:pStyle w:val="Compact"/>
              <w:jc w:val="right"/>
            </w:pPr>
            <w:r>
              <w:t xml:space="preserve">50.0</w:t>
            </w:r>
          </w:p>
        </w:tc>
        <w:tc>
          <w:tcPr/>
          <w:p>
            <w:pPr>
              <w:pStyle w:val="Compact"/>
              <w:jc w:val="right"/>
            </w:pPr>
            <w:r>
              <w:t xml:space="preserve">n.a.</w:t>
            </w:r>
          </w:p>
        </w:tc>
      </w:tr>
      <w:tr>
        <w:tc>
          <w:tcPr/>
          <w:p>
            <w:pPr>
              <w:pStyle w:val="Compact"/>
              <w:jc w:val="left"/>
            </w:pPr>
            <w:r>
              <w:t xml:space="preserve">Chaoxing</w:t>
            </w:r>
          </w:p>
        </w:tc>
        <w:tc>
          <w:tcPr/>
          <w:p>
            <w:pPr>
              <w:pStyle w:val="Compact"/>
              <w:jc w:val="right"/>
            </w:pPr>
            <w:r>
              <w:t xml:space="preserve">n.a.</w:t>
            </w:r>
          </w:p>
        </w:tc>
        <w:tc>
          <w:tcPr/>
          <w:p>
            <w:pPr>
              <w:pStyle w:val="Compact"/>
              <w:jc w:val="right"/>
            </w:pPr>
            <w:r>
              <w:t xml:space="preserve">42.1</w:t>
            </w:r>
          </w:p>
        </w:tc>
        <w:tc>
          <w:tcPr/>
          <w:p>
            <w:pPr>
              <w:pStyle w:val="Compact"/>
              <w:jc w:val="right"/>
            </w:pPr>
            <w:r>
              <w:t xml:space="preserve">n.a.</w:t>
            </w:r>
          </w:p>
        </w:tc>
      </w:tr>
      <w:tr>
        <w:tc>
          <w:tcPr/>
          <w:p>
            <w:pPr>
              <w:pStyle w:val="Compact"/>
              <w:jc w:val="left"/>
            </w:pPr>
            <w:r>
              <w:t xml:space="preserve">DingTalk</w:t>
            </w:r>
          </w:p>
        </w:tc>
        <w:tc>
          <w:tcPr/>
          <w:p>
            <w:pPr>
              <w:pStyle w:val="Compact"/>
              <w:jc w:val="right"/>
            </w:pPr>
            <w:r>
              <w:t xml:space="preserve">n.a.</w:t>
            </w:r>
          </w:p>
        </w:tc>
        <w:tc>
          <w:tcPr/>
          <w:p>
            <w:pPr>
              <w:pStyle w:val="Compact"/>
              <w:jc w:val="right"/>
            </w:pPr>
            <w:r>
              <w:t xml:space="preserve">28.9</w:t>
            </w:r>
          </w:p>
        </w:tc>
        <w:tc>
          <w:tcPr/>
          <w:p>
            <w:pPr>
              <w:pStyle w:val="Compact"/>
              <w:jc w:val="right"/>
            </w:pPr>
            <w:r>
              <w:t xml:space="preserve">n.a.</w:t>
            </w:r>
          </w:p>
        </w:tc>
      </w:tr>
      <w:tr>
        <w:tc>
          <w:tcPr/>
          <w:p>
            <w:pPr>
              <w:pStyle w:val="Compact"/>
              <w:jc w:val="left"/>
            </w:pPr>
            <w:r>
              <w:t xml:space="preserve">中国慕课 (Chinese MOOC, as printed)</w:t>
            </w:r>
          </w:p>
        </w:tc>
        <w:tc>
          <w:tcPr/>
          <w:p>
            <w:pPr>
              <w:pStyle w:val="Compact"/>
              <w:jc w:val="right"/>
            </w:pPr>
            <w:r>
              <w:t xml:space="preserve">n.a.</w:t>
            </w:r>
          </w:p>
        </w:tc>
        <w:tc>
          <w:tcPr/>
          <w:p>
            <w:pPr>
              <w:pStyle w:val="Compact"/>
              <w:jc w:val="right"/>
            </w:pPr>
            <w:r>
              <w:t xml:space="preserve">28.9</w:t>
            </w:r>
          </w:p>
        </w:tc>
        <w:tc>
          <w:tcPr/>
          <w:p>
            <w:pPr>
              <w:pStyle w:val="Compact"/>
              <w:jc w:val="right"/>
            </w:pPr>
            <w:r>
              <w:t xml:space="preserve">n.a.</w:t>
            </w:r>
          </w:p>
        </w:tc>
      </w:tr>
    </w:tbl>
    <w:p>
      <w:pPr>
        <w:pStyle w:val="BodyText"/>
      </w:pPr>
      <w:r>
        <w:rPr>
          <w:iCs/>
          <w:i/>
        </w:rPr>
        <w:t xml:space="preserve">Note.</w:t>
      </w:r>
      <w:r>
        <w:t xml:space="preserve"> </w:t>
      </w:r>
      <w:r>
        <w:t xml:space="preserve">n.a. = the item was not asked in that column.</w:t>
      </w:r>
      <w:r>
        <w:t xml:space="preserve"> </w:t>
      </w:r>
      <w:r>
        <w:t xml:space="preserve">“</w:t>
      </w:r>
      <w:r>
        <w:t xml:space="preserve">My country</w:t>
      </w:r>
      <w:r>
        <w:t xml:space="preserve">”</w:t>
      </w:r>
      <w:r>
        <w:t xml:space="preserve"> </w:t>
      </w:r>
      <w:r>
        <w:t xml:space="preserve">is the stem wording. QQ, Chaoxing, DingTalk, and 中国慕课 are platforms often used in Chinese-university teaching; they are not exclusively campus systems.</w:t>
      </w:r>
      <w:r>
        <w:t xml:space="preserve"> </w:t>
      </w:r>
      <w:r>
        <w:t xml:space="preserve">“</w:t>
      </w:r>
      <w:r>
        <w:t xml:space="preserve">Marked unusable</w:t>
      </w:r>
      <w:r>
        <w:t xml:space="preserve">”</w:t>
      </w:r>
      <w:r>
        <w:t xml:space="preserve"> </w:t>
      </w:r>
      <w:r>
        <w:t xml:space="preserve">follows the item wording and is not a technical claim that the platform was blocked.</w:t>
      </w:r>
    </w:p>
    <w:bookmarkEnd w:id="34"/>
    <w:bookmarkStart w:id="35" w:name="perceived-learning-and-internet-speed"/>
    <w:p>
      <w:pPr>
        <w:pStyle w:val="Heading3"/>
      </w:pPr>
      <w:r>
        <w:t xml:space="preserve">4.3 Perceived learning and internet speed</w:t>
      </w:r>
    </w:p>
    <w:p>
      <w:pPr>
        <w:pStyle w:val="FirstParagraph"/>
      </w:pPr>
      <w:r>
        <w:t xml:space="preserve">Active interaction with the teacher</w:t>
      </w:r>
      <w:r>
        <w:t xml:space="preserve"> </w:t>
      </w:r>
      <w:r>
        <w:t xml:space="preserve">“</w:t>
      </w:r>
      <w:r>
        <w:t xml:space="preserve">very much</w:t>
      </w:r>
      <w:r>
        <w:t xml:space="preserve">”</w:t>
      </w:r>
      <w:r>
        <w:t xml:space="preserve"> </w:t>
      </w:r>
      <w:r>
        <w:t xml:space="preserve">was reported by 6 of 38 (15.8%). When classroom talk was reported, it was mainly dialogue (76.3%) and question and answer (57.9%). Role-play was rare (7.9%).</w:t>
      </w:r>
    </w:p>
    <w:p>
      <w:pPr>
        <w:pStyle w:val="BodyText"/>
      </w:pPr>
      <w:r>
        <w:t xml:space="preserve">On the appraisal items, 18.4% said they could learn</w:t>
      </w:r>
      <w:r>
        <w:t xml:space="preserve"> </w:t>
      </w:r>
      <w:r>
        <w:t xml:space="preserve">“</w:t>
      </w:r>
      <w:r>
        <w:t xml:space="preserve">a lot</w:t>
      </w:r>
      <w:r>
        <w:t xml:space="preserve">”</w:t>
      </w:r>
      <w:r>
        <w:t xml:space="preserve"> </w:t>
      </w:r>
      <w:r>
        <w:t xml:space="preserve">online and 28.9% said little or nothing. Worse internet speed was associated with a worse appraisal index (ρ = .65,</w:t>
      </w:r>
      <w:r>
        <w:t xml:space="preserve"> </w:t>
      </w:r>
      <w:r>
        <w:rPr>
          <w:iCs/>
          <w:i/>
        </w:rPr>
        <w:t xml:space="preserve">p</w:t>
      </w:r>
      <w:r>
        <w:t xml:space="preserve"> </w:t>
      </w:r>
      <w:r>
        <w:t xml:space="preserve">&lt; .001, percentile bootstrap 95% CI [.36, .84]). A simple, unvalidated count of selected infrastructure-problem options (unstable network, power interruptions, no signal) was not associated with the index (ρ = .02,</w:t>
      </w:r>
      <w:r>
        <w:t xml:space="preserve"> </w:t>
      </w:r>
      <w:r>
        <w:rPr>
          <w:iCs/>
          <w:i/>
        </w:rPr>
        <w:t xml:space="preserve">p</w:t>
      </w:r>
      <w:r>
        <w:t xml:space="preserve"> </w:t>
      </w:r>
      <w:r>
        <w:t xml:space="preserve">= .91, percentile bootstrap 95% CI [−.32, .37]). That count is an exploratory post hoc indicator: unstable network and no signal may overlap, and power interruptions are a different layer of infrastructure. The non-significant correlation is therefore not read as evidence that speed matters but the number of problems does not. These are rank associations, not effects of infrastructure on learning.</w:t>
      </w:r>
    </w:p>
    <w:p>
      <w:pPr>
        <w:pStyle w:val="BodyText"/>
      </w:pPr>
      <w:r>
        <w:t xml:space="preserve">Preferred live length was 45 minutes for 50% and 30 minutes for 28.9%. One open comment said that even one minute online was</w:t>
      </w:r>
      <w:r>
        <w:t xml:space="preserve"> </w:t>
      </w:r>
      <w:r>
        <w:t xml:space="preserve">“</w:t>
      </w:r>
      <w:r>
        <w:t xml:space="preserve">not suitable.</w:t>
      </w:r>
      <w:r>
        <w:t xml:space="preserve">”</w:t>
      </w:r>
    </w:p>
    <w:p>
      <w:pPr>
        <w:pStyle w:val="BodyText"/>
      </w:pPr>
      <w:r>
        <w:rPr>
          <w:bCs/>
          <w:b/>
        </w:rPr>
        <w:t xml:space="preserve">Table 4</w:t>
      </w:r>
    </w:p>
    <w:p>
      <w:pPr>
        <w:pStyle w:val="BodyText"/>
      </w:pPr>
      <w:r>
        <w:rPr>
          <w:iCs/>
          <w:i/>
        </w:rPr>
        <w:t xml:space="preserve">Focal associations (N = 38)</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Association</w:t>
            </w:r>
          </w:p>
        </w:tc>
        <w:tc>
          <w:tcPr/>
          <w:p>
            <w:pPr>
              <w:pStyle w:val="Compact"/>
              <w:jc w:val="left"/>
            </w:pPr>
            <w:r>
              <w:t xml:space="preserve">Result</w:t>
            </w:r>
          </w:p>
        </w:tc>
      </w:tr>
      <w:tr>
        <w:tc>
          <w:tcPr/>
          <w:p>
            <w:pPr>
              <w:pStyle w:val="Compact"/>
              <w:jc w:val="left"/>
            </w:pPr>
            <w:r>
              <w:t xml:space="preserve">Home affects study very much × very high stress</w:t>
            </w:r>
          </w:p>
        </w:tc>
        <w:tc>
          <w:tcPr/>
          <w:p>
            <w:pPr>
              <w:pStyle w:val="Compact"/>
              <w:jc w:val="left"/>
            </w:pPr>
            <w:r>
              <w:t xml:space="preserve">11/14 vs 3/24; two-sided Fisher’s exact</w:t>
            </w:r>
            <w:r>
              <w:t xml:space="preserve"> </w:t>
            </w:r>
            <w:r>
              <w:rPr>
                <w:iCs/>
                <w:i/>
              </w:rPr>
              <w:t xml:space="preserve">p</w:t>
            </w:r>
            <w:r>
              <w:t xml:space="preserve"> </w:t>
            </w:r>
            <w:r>
              <w:t xml:space="preserve">= .00008</w:t>
            </w:r>
          </w:p>
        </w:tc>
      </w:tr>
      <w:tr>
        <w:tc>
          <w:tcPr/>
          <w:p>
            <w:pPr>
              <w:pStyle w:val="Compact"/>
              <w:jc w:val="left"/>
            </w:pPr>
            <w:r>
              <w:t xml:space="preserve">Speed (worse) × appraisal index (worse)</w:t>
            </w:r>
          </w:p>
        </w:tc>
        <w:tc>
          <w:tcPr/>
          <w:p>
            <w:pPr>
              <w:pStyle w:val="Compact"/>
              <w:jc w:val="left"/>
            </w:pPr>
            <w:r>
              <w:t xml:space="preserve">ρ = .65, percentile bootstrap 95% CI [.36, .84],</w:t>
            </w:r>
            <w:r>
              <w:t xml:space="preserve"> </w:t>
            </w:r>
            <w:r>
              <w:rPr>
                <w:iCs/>
                <w:i/>
              </w:rPr>
              <w:t xml:space="preserve">p</w:t>
            </w:r>
            <w:r>
              <w:t xml:space="preserve"> </w:t>
            </w:r>
            <w:r>
              <w:t xml:space="preserve">&lt; .001</w:t>
            </w:r>
          </w:p>
        </w:tc>
      </w:tr>
      <w:tr>
        <w:tc>
          <w:tcPr/>
          <w:p>
            <w:pPr>
              <w:pStyle w:val="Compact"/>
              <w:jc w:val="left"/>
            </w:pPr>
            <w:r>
              <w:t xml:space="preserve">Infrastructure-problem count × appraisal index (exploratory post hoc)</w:t>
            </w:r>
          </w:p>
        </w:tc>
        <w:tc>
          <w:tcPr/>
          <w:p>
            <w:pPr>
              <w:pStyle w:val="Compact"/>
              <w:jc w:val="left"/>
            </w:pPr>
            <w:r>
              <w:t xml:space="preserve">ρ = .02, percentile bootstrap 95% CI [−.32, .37],</w:t>
            </w:r>
            <w:r>
              <w:t xml:space="preserve"> </w:t>
            </w:r>
            <w:r>
              <w:rPr>
                <w:iCs/>
                <w:i/>
              </w:rPr>
              <w:t xml:space="preserve">p</w:t>
            </w:r>
            <w:r>
              <w:t xml:space="preserve"> </w:t>
            </w:r>
            <w:r>
              <w:t xml:space="preserve">= .91</w:t>
            </w:r>
          </w:p>
        </w:tc>
      </w:tr>
    </w:tbl>
    <w:p>
      <w:pPr>
        <w:pStyle w:val="BodyText"/>
      </w:pPr>
      <w:r>
        <w:rPr>
          <w:iCs/>
          <w:i/>
        </w:rPr>
        <w:t xml:space="preserve">Note.</w:t>
      </w:r>
      <w:r>
        <w:t xml:space="preserve"> </w:t>
      </w:r>
      <w:r>
        <w:t xml:space="preserve">Analyses are exploratory. Odds ratios are omitted. The infrastructure-problem count is an unvalidated post hoc indicator and is not treated as a parallel scale.</w:t>
      </w:r>
    </w:p>
    <w:p>
      <w:pPr>
        <w:pStyle w:val="BodyText"/>
      </w:pPr>
      <w:r>
        <w:t xml:space="preserve">Among Pakistani-nationality respondents only (n = 37), the home–stress table remained 11/14 versus 3/23 (two-sided Fisher’s exact</w:t>
      </w:r>
      <w:r>
        <w:t xml:space="preserve"> </w:t>
      </w:r>
      <w:r>
        <w:rPr>
          <w:iCs/>
          <w:i/>
        </w:rPr>
        <w:t xml:space="preserve">p</w:t>
      </w:r>
      <w:r>
        <w:t xml:space="preserve"> </w:t>
      </w:r>
      <w:r>
        <w:t xml:space="preserve">= .00011) and speed × appraisal was ρ = .67 (percentile bootstrap 95% CI [.39, .85]).</w:t>
      </w:r>
    </w:p>
    <w:bookmarkEnd w:id="35"/>
    <w:bookmarkStart w:id="36" w:name="X97201ae18f9cce7e94bf1bc756e03fa139ac895"/>
    <w:p>
      <w:pPr>
        <w:pStyle w:val="Heading3"/>
      </w:pPr>
      <w:r>
        <w:t xml:space="preserve">4.4 Replacement judgement (secondary gender note)</w:t>
      </w:r>
    </w:p>
    <w:p>
      <w:pPr>
        <w:pStyle w:val="FirstParagraph"/>
      </w:pPr>
      <w:r>
        <w:t xml:space="preserve">Nineteen of 38 said online study could replace campus classes, and 19 said it could not. Among women, 9 of 11 said it could not; among men, 10 of 27 said so. With only 11 women, this is a cautious observation of perceived legitimacy in this sample. It is not a gender finding about Pakistani households and is not treated as a focal test (Appendix B).</w:t>
      </w:r>
    </w:p>
    <w:bookmarkEnd w:id="36"/>
    <w:bookmarkEnd w:id="37"/>
    <w:bookmarkStart w:id="38" w:name="discussion"/>
    <w:p>
      <w:pPr>
        <w:pStyle w:val="Heading2"/>
      </w:pPr>
      <w:r>
        <w:t xml:space="preserve">5. Discussion</w:t>
      </w:r>
    </w:p>
    <w:p>
      <w:pPr>
        <w:pStyle w:val="FirstParagraph"/>
      </w:pPr>
      <w:r>
        <w:t xml:space="preserve">The 2022 questionnaire does not show how institutions adapted. What it does show is a set of learner-side conditions that would have pressed on any travelling Chinese-language course. In this sample, household infrastructure and platform access sat alongside reports of very high stress and more negative appraisals of online learning. Localisation of content and materials would still have been necessary (Lu et al., 2024; Zhao, 2020). It would not, by itself, have answered a synchronous session on an unstable connection, or a required application that respondents marked unusable in their country.</w:t>
      </w:r>
    </w:p>
    <w:p>
      <w:pPr>
        <w:pStyle w:val="BodyText"/>
      </w:pPr>
      <w:r>
        <w:t xml:space="preserve">Those conditions belong to the culture of the class in a narrow, ecological sense: the immediate setting in which language work was asked to happen (van Lier, 2004). They are not a claim about Pakistani culture, nor about a national educational system. Most respondents selected Pakistani nationality, and that is the only Pakistan connection the dataset can support.</w:t>
      </w:r>
    </w:p>
    <w:p>
      <w:pPr>
        <w:pStyle w:val="BodyText"/>
      </w:pPr>
      <w:r>
        <w:t xml:space="preserve">The platform pattern is best read as a possible geography of delivery. Applications often used in Chinese-university teaching (QQ, Chaoxing, DingTalk, 中国慕课) were frequently marked unusable, while Zoom and WhatsApp were more often marked available. The questionnaire cannot say whether that pattern reflects country restrictions, routing, account rules, skills, or virtual private networks. It can say that a travelling course which assumes a single institutional toolkit may ask learners to enter a class they cannot reliably open.</w:t>
      </w:r>
    </w:p>
    <w:p>
      <w:pPr>
        <w:pStyle w:val="BodyText"/>
      </w:pPr>
      <w:r>
        <w:t xml:space="preserve">Participation in this dataset co-occurred with reported platform access, power and connectivity problems, and a home that many described as not quiet. That is a description of domestic participation conditions, not a claim that inequality is</w:t>
      </w:r>
      <w:r>
        <w:t xml:space="preserve"> </w:t>
      </w:r>
      <w:r>
        <w:t xml:space="preserve">“</w:t>
      </w:r>
      <w:r>
        <w:t xml:space="preserve">cultural.</w:t>
      </w:r>
      <w:r>
        <w:t xml:space="preserve">”</w:t>
      </w:r>
    </w:p>
    <w:bookmarkEnd w:id="38"/>
    <w:bookmarkStart w:id="39" w:name="Xa4b283138da25a30b7a49a65f021a6e6787929a"/>
    <w:p>
      <w:pPr>
        <w:pStyle w:val="Heading2"/>
      </w:pPr>
      <w:r>
        <w:t xml:space="preserve">6. Implications for curriculum implementation</w:t>
      </w:r>
    </w:p>
    <w:p>
      <w:pPr>
        <w:pStyle w:val="FirstParagraph"/>
      </w:pPr>
      <w:r>
        <w:t xml:space="preserve">If localisation is also a question of delivery, course design has to treat time, platform, participation mode, task, and assessment as curricular decisions rather than as technical afterthoughts. The present findings can support only cautious, sample-bound suggestions: shorter or asynchronous oral alternatives; assessment that does not assume a quiet campus hour; and a required platform that respondents can actually open. WhatsApp was marked available here, but it was not recorded as used for class, so the data do not recommend it as a replacement. Nor do they show that later hybrid ICLE has repeated this pattern. They do suggest that hybrid models</w:t>
      </w:r>
      <w:r>
        <w:t xml:space="preserve"> </w:t>
      </w:r>
      <w:r>
        <w:rPr>
          <w:iCs/>
          <w:i/>
        </w:rPr>
        <w:t xml:space="preserve">may</w:t>
      </w:r>
      <w:r>
        <w:t xml:space="preserve"> </w:t>
      </w:r>
      <w:r>
        <w:t xml:space="preserve">reproduce a similar mismatch if the delivery assumptions of a travelling course are left unexamined (Stockwell &amp; Wang, 2023).</w:t>
      </w:r>
    </w:p>
    <w:bookmarkEnd w:id="39"/>
    <w:bookmarkStart w:id="40" w:name="limitations"/>
    <w:p>
      <w:pPr>
        <w:pStyle w:val="Heading2"/>
      </w:pPr>
      <w:r>
        <w:t xml:space="preserve">7. Limitations</w:t>
      </w:r>
    </w:p>
    <w:p>
      <w:pPr>
        <w:pStyle w:val="FirstParagraph"/>
      </w:pPr>
      <w:r>
        <w:t xml:space="preserve">The sample is small (N = 38), network-recruited, and majority male. Recruitment channel, host university, programme type, and place of residence that week were not recorded, so Chinese-university enrolment is not independently verified. IP metadata are not a location measure. All outcomes are self-report. The appraisal index is descriptive, not a validated scale, and the infrastructure-problem count is an unvalidated post hoc indicator. The form did not measure institutional adaptation, so localisation of delivery remains a conceptual reading of student-side conditions. The data are from February 2022 and concern emergency remote teaching; they are not evidence about current hybrid education. No ethics-committee number is available for the 2022 collection (Section 3.5).</w:t>
      </w:r>
    </w:p>
    <w:bookmarkEnd w:id="40"/>
    <w:bookmarkStart w:id="41" w:name="conclusion"/>
    <w:p>
      <w:pPr>
        <w:pStyle w:val="Heading2"/>
      </w:pPr>
      <w:r>
        <w:t xml:space="preserve">8. Conclusion</w:t>
      </w:r>
    </w:p>
    <w:p>
      <w:pPr>
        <w:pStyle w:val="FirstParagraph"/>
      </w:pPr>
      <w:r>
        <w:t xml:space="preserve">In this exploratory emergency-remote-teaching sample, respondents reporting online Chinese-language courses also reported household infrastructure problems and uneven platform access. Those conditions co-occurred with selecting</w:t>
      </w:r>
      <w:r>
        <w:t xml:space="preserve"> </w:t>
      </w:r>
      <w:r>
        <w:t xml:space="preserve">“</w:t>
      </w:r>
      <w:r>
        <w:t xml:space="preserve">very high stress</w:t>
      </w:r>
      <w:r>
        <w:t xml:space="preserve">”</w:t>
      </w:r>
      <w:r>
        <w:t xml:space="preserve"> </w:t>
      </w:r>
      <w:r>
        <w:t xml:space="preserve">and with more negative appraisals of online learning. The conceptual suggestion, bounded by N = 38 and by a 2022 dataset, is that ICLE localisation may need to take delivery-context fit—time, platform, task, participation mode, and assessment—as seriously as the adaptation of content and materials. A course may be locally relevant in content but inaccessible in delivery. Whether later hybrid arrangements have closed that gap is a question this study cannot answer.</w:t>
      </w:r>
    </w:p>
    <w:bookmarkEnd w:id="41"/>
    <w:bookmarkStart w:id="42" w:name="appendix-a.-appraisal-items-and-coding"/>
    <w:p>
      <w:pPr>
        <w:pStyle w:val="Heading2"/>
      </w:pPr>
      <w:r>
        <w:t xml:space="preserve">Appendix A. Appraisal items and coding</w:t>
      </w:r>
    </w:p>
    <w:p>
      <w:pPr>
        <w:pStyle w:val="FirstParagraph"/>
      </w:pPr>
      <w:r>
        <w:t xml:space="preserve">English glosses of the Chinese stems.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Item</w:t>
            </w:r>
          </w:p>
        </w:tc>
        <w:tc>
          <w:tcPr/>
          <w:p>
            <w:pPr>
              <w:pStyle w:val="Compact"/>
              <w:jc w:val="left"/>
            </w:pPr>
            <w:r>
              <w:t xml:space="preserve">Stem (gloss)</w:t>
            </w:r>
          </w:p>
        </w:tc>
        <w:tc>
          <w:tcPr/>
          <w:p>
            <w:pPr>
              <w:pStyle w:val="Compact"/>
              <w:jc w:val="left"/>
            </w:pPr>
            <w:r>
              <w:t xml:space="preserve">1</w:t>
            </w:r>
          </w:p>
        </w:tc>
        <w:tc>
          <w:tcPr/>
          <w:p>
            <w:pPr>
              <w:pStyle w:val="Compact"/>
              <w:jc w:val="left"/>
            </w:pPr>
            <w:r>
              <w:t xml:space="preserve">Higher</w:t>
            </w:r>
          </w:p>
        </w:tc>
      </w:tr>
      <w:tr>
        <w:tc>
          <w:tcPr/>
          <w:p>
            <w:pPr>
              <w:pStyle w:val="Compact"/>
              <w:jc w:val="left"/>
            </w:pPr>
            <w:r>
              <w:t xml:space="preserve">Learned (Q8)</w:t>
            </w:r>
          </w:p>
        </w:tc>
        <w:tc>
          <w:tcPr/>
          <w:p>
            <w:pPr>
              <w:pStyle w:val="Compact"/>
              <w:jc w:val="left"/>
            </w:pPr>
            <w:r>
              <w:t xml:space="preserve">Can you learn a lot in online class?</w:t>
            </w:r>
          </w:p>
        </w:tc>
        <w:tc>
          <w:tcPr/>
          <w:p>
            <w:pPr>
              <w:pStyle w:val="Compact"/>
              <w:jc w:val="left"/>
            </w:pPr>
            <w:r>
              <w:t xml:space="preserve">a lot</w:t>
            </w:r>
          </w:p>
        </w:tc>
        <w:tc>
          <w:tcPr/>
          <w:p>
            <w:pPr>
              <w:pStyle w:val="Compact"/>
              <w:jc w:val="left"/>
            </w:pPr>
            <w:r>
              <w:t xml:space="preserve">worse appraisal</w:t>
            </w:r>
          </w:p>
        </w:tc>
      </w:tr>
      <w:tr>
        <w:tc>
          <w:tcPr/>
          <w:p>
            <w:pPr>
              <w:pStyle w:val="Compact"/>
              <w:jc w:val="left"/>
            </w:pPr>
            <w:r>
              <w:t xml:space="preserve">Improve (Q9)</w:t>
            </w:r>
          </w:p>
        </w:tc>
        <w:tc>
          <w:tcPr/>
          <w:p>
            <w:pPr>
              <w:pStyle w:val="Compact"/>
              <w:jc w:val="left"/>
            </w:pPr>
            <w:r>
              <w:t xml:space="preserve">Can online study improve Chinese?</w:t>
            </w:r>
          </w:p>
        </w:tc>
        <w:tc>
          <w:tcPr/>
          <w:p>
            <w:pPr>
              <w:pStyle w:val="Compact"/>
              <w:jc w:val="left"/>
            </w:pPr>
            <w:r>
              <w:t xml:space="preserve">very much</w:t>
            </w:r>
          </w:p>
        </w:tc>
        <w:tc>
          <w:tcPr/>
          <w:p>
            <w:pPr>
              <w:pStyle w:val="Compact"/>
              <w:jc w:val="left"/>
            </w:pPr>
            <w:r>
              <w:t xml:space="preserve">worse appraisal</w:t>
            </w:r>
          </w:p>
        </w:tc>
      </w:tr>
      <w:tr>
        <w:tc>
          <w:tcPr/>
          <w:p>
            <w:pPr>
              <w:pStyle w:val="Compact"/>
              <w:jc w:val="left"/>
            </w:pPr>
            <w:r>
              <w:t xml:space="preserve">Interest (Q10)</w:t>
            </w:r>
          </w:p>
        </w:tc>
        <w:tc>
          <w:tcPr/>
          <w:p>
            <w:pPr>
              <w:pStyle w:val="Compact"/>
              <w:jc w:val="left"/>
            </w:pPr>
            <w:r>
              <w:t xml:space="preserve">Does it spark learning interest?</w:t>
            </w:r>
          </w:p>
        </w:tc>
        <w:tc>
          <w:tcPr/>
          <w:p>
            <w:pPr>
              <w:pStyle w:val="Compact"/>
              <w:jc w:val="left"/>
            </w:pPr>
            <w:r>
              <w:t xml:space="preserve">very much</w:t>
            </w:r>
          </w:p>
        </w:tc>
        <w:tc>
          <w:tcPr/>
          <w:p>
            <w:pPr>
              <w:pStyle w:val="Compact"/>
              <w:jc w:val="left"/>
            </w:pPr>
            <w:r>
              <w:t xml:space="preserve">worse appraisal</w:t>
            </w:r>
          </w:p>
        </w:tc>
      </w:tr>
      <w:tr>
        <w:tc>
          <w:tcPr/>
          <w:p>
            <w:pPr>
              <w:pStyle w:val="Compact"/>
              <w:jc w:val="left"/>
            </w:pPr>
            <w:r>
              <w:t xml:space="preserve">Speed (Q14)</w:t>
            </w:r>
          </w:p>
        </w:tc>
        <w:tc>
          <w:tcPr/>
          <w:p>
            <w:pPr>
              <w:pStyle w:val="Compact"/>
              <w:jc w:val="left"/>
            </w:pPr>
            <w:r>
              <w:t xml:space="preserve">Internet speed</w:t>
            </w:r>
          </w:p>
        </w:tc>
        <w:tc>
          <w:tcPr/>
          <w:p>
            <w:pPr>
              <w:pStyle w:val="Compact"/>
              <w:jc w:val="left"/>
            </w:pPr>
            <w:r>
              <w:t xml:space="preserve">very good</w:t>
            </w:r>
          </w:p>
        </w:tc>
        <w:tc>
          <w:tcPr/>
          <w:p>
            <w:pPr>
              <w:pStyle w:val="Compact"/>
              <w:jc w:val="left"/>
            </w:pPr>
            <w:r>
              <w:t xml:space="preserve">worse speed</w:t>
            </w:r>
          </w:p>
        </w:tc>
      </w:tr>
      <w:tr>
        <w:tc>
          <w:tcPr/>
          <w:p>
            <w:pPr>
              <w:pStyle w:val="Compact"/>
              <w:jc w:val="left"/>
            </w:pPr>
            <w:r>
              <w:t xml:space="preserve">Stress (Q24)</w:t>
            </w:r>
          </w:p>
        </w:tc>
        <w:tc>
          <w:tcPr/>
          <w:p>
            <w:pPr>
              <w:pStyle w:val="Compact"/>
              <w:jc w:val="left"/>
            </w:pPr>
            <w:r>
              <w:t xml:space="preserve">Psychological stress</w:t>
            </w:r>
          </w:p>
        </w:tc>
        <w:tc>
          <w:tcPr/>
          <w:p>
            <w:pPr>
              <w:pStyle w:val="Compact"/>
              <w:jc w:val="left"/>
            </w:pPr>
            <w:r>
              <w:t xml:space="preserve">very high</w:t>
            </w:r>
          </w:p>
        </w:tc>
        <w:tc>
          <w:tcPr/>
          <w:p>
            <w:pPr>
              <w:pStyle w:val="Compact"/>
              <w:jc w:val="left"/>
            </w:pPr>
            <w:r>
              <w:t xml:space="preserve">less stress</w:t>
            </w:r>
          </w:p>
        </w:tc>
      </w:tr>
      <w:tr>
        <w:tc>
          <w:tcPr/>
          <w:p>
            <w:pPr>
              <w:pStyle w:val="Compact"/>
              <w:jc w:val="left"/>
            </w:pPr>
            <w:r>
              <w:t xml:space="preserve">Interaction (Q25)</w:t>
            </w:r>
          </w:p>
        </w:tc>
        <w:tc>
          <w:tcPr/>
          <w:p>
            <w:pPr>
              <w:pStyle w:val="Compact"/>
              <w:jc w:val="left"/>
            </w:pPr>
            <w:r>
              <w:t xml:space="preserve">Active interaction with teacher</w:t>
            </w:r>
          </w:p>
        </w:tc>
        <w:tc>
          <w:tcPr/>
          <w:p>
            <w:pPr>
              <w:pStyle w:val="Compact"/>
              <w:jc w:val="left"/>
            </w:pPr>
            <w:r>
              <w:t xml:space="preserve">very much</w:t>
            </w:r>
          </w:p>
        </w:tc>
        <w:tc>
          <w:tcPr/>
          <w:p>
            <w:pPr>
              <w:pStyle w:val="Compact"/>
              <w:jc w:val="left"/>
            </w:pPr>
            <w:r>
              <w:t xml:space="preserve">thinner interaction</w:t>
            </w:r>
          </w:p>
        </w:tc>
      </w:tr>
    </w:tbl>
    <w:p>
      <w:pPr>
        <w:pStyle w:val="BodyText"/>
      </w:pPr>
      <w:r>
        <w:t xml:space="preserve">Index = mean of Q8, Q9, and Q10 (n = 38; no missing on these three).</w:t>
      </w:r>
    </w:p>
    <w:bookmarkEnd w:id="42"/>
    <w:bookmarkStart w:id="43" w:name="appendix-b.-secondary-statistics"/>
    <w:p>
      <w:pPr>
        <w:pStyle w:val="Heading2"/>
      </w:pPr>
      <w:r>
        <w:t xml:space="preserve">Appendix B. Secondary statistics</w:t>
      </w:r>
    </w:p>
    <w:p>
      <w:pPr>
        <w:pStyle w:val="FirstParagraph"/>
      </w:pPr>
      <w:r>
        <w:t xml:space="preserve">See</w:t>
      </w:r>
      <w:r>
        <w:t xml:space="preserve"> </w:t>
      </w:r>
      <w:r>
        <w:rPr>
          <w:rStyle w:val="VerbatimChar"/>
        </w:rPr>
        <w:t xml:space="preserve">analysis/supplementary_stats.md</w:t>
      </w:r>
      <w:r>
        <w:t xml:space="preserve"> </w:t>
      </w:r>
      <w:r>
        <w:t xml:space="preserve">for full tables. Summary: female × cannot-replace and learned-little × cannot-replace have identical cell counts (9/11 vs 10/27; Fisher’s exact</w:t>
      </w:r>
      <w:r>
        <w:t xml:space="preserve"> </w:t>
      </w:r>
      <w:r>
        <w:rPr>
          <w:iCs/>
          <w:i/>
        </w:rPr>
        <w:t xml:space="preserve">p</w:t>
      </w:r>
      <w:r>
        <w:t xml:space="preserve"> </w:t>
      </w:r>
      <w:r>
        <w:t xml:space="preserve">= .029). Poor internet × cannot-replace: 8/10 vs 11/28, Fisher’s exact</w:t>
      </w:r>
      <w:r>
        <w:t xml:space="preserve"> </w:t>
      </w:r>
      <w:r>
        <w:rPr>
          <w:iCs/>
          <w:i/>
        </w:rPr>
        <w:t xml:space="preserve">p</w:t>
      </w:r>
      <w:r>
        <w:t xml:space="preserve"> </w:t>
      </w:r>
      <w:r>
        <w:t xml:space="preserve">= .062. Mann–Whitney tests by gender on ordinals all had</w:t>
      </w:r>
      <w:r>
        <w:t xml:space="preserve"> </w:t>
      </w:r>
      <w:r>
        <w:rPr>
          <w:iCs/>
          <w:i/>
        </w:rPr>
        <w:t xml:space="preserve">p</w:t>
      </w:r>
      <w:r>
        <w:t xml:space="preserve"> </w:t>
      </w:r>
      <w:r>
        <w:t xml:space="preserve">≥ .36.</w:t>
      </w:r>
    </w:p>
    <w:bookmarkEnd w:id="43"/>
    <w:bookmarkStart w:id="44" w:name="references"/>
    <w:p>
      <w:pPr>
        <w:pStyle w:val="Heading2"/>
      </w:pPr>
      <w:r>
        <w:t xml:space="preserve">References</w:t>
      </w:r>
    </w:p>
    <w:p>
      <w:pPr>
        <w:pStyle w:val="FirstParagraph"/>
      </w:pPr>
      <w:r>
        <w:t xml:space="preserve">Ali, W. (2020). Online and remote learning in higher education institutes: A necessity in light of COVID-19 pandemic.</w:t>
      </w:r>
      <w:r>
        <w:t xml:space="preserve"> </w:t>
      </w:r>
      <w:r>
        <w:rPr>
          <w:iCs/>
          <w:i/>
        </w:rPr>
        <w:t xml:space="preserve">Higher Education Studies, 10</w:t>
      </w:r>
      <w:r>
        <w:t xml:space="preserve">(3), 16-25. https://doi.org/10.5539/hes.v10n3p16</w:t>
      </w:r>
    </w:p>
    <w:p>
      <w:pPr>
        <w:pStyle w:val="BodyText"/>
      </w:pPr>
      <w:r>
        <w:t xml:space="preserve">Canagarajah, A. S. (Ed.). (2005).</w:t>
      </w:r>
      <w:r>
        <w:t xml:space="preserve"> </w:t>
      </w:r>
      <w:r>
        <w:rPr>
          <w:iCs/>
          <w:i/>
        </w:rPr>
        <w:t xml:space="preserve">Reclaiming the local in language policy and practice</w:t>
      </w:r>
      <w:r>
        <w:t xml:space="preserve">. Lawrence Erlbaum.</w:t>
      </w:r>
    </w:p>
    <w:p>
      <w:pPr>
        <w:pStyle w:val="BodyText"/>
      </w:pPr>
      <w:r>
        <w:t xml:space="preserve">Gacs, A., Goertler, S., &amp; Spasova, S. (2020). Planned online language education versus crisis-prompted online language teaching: Lessons for the future.</w:t>
      </w:r>
      <w:r>
        <w:t xml:space="preserve"> </w:t>
      </w:r>
      <w:r>
        <w:rPr>
          <w:iCs/>
          <w:i/>
        </w:rPr>
        <w:t xml:space="preserve">Foreign Language Annals, 53</w:t>
      </w:r>
      <w:r>
        <w:t xml:space="preserve">(2), 380-392. https://doi.org/10.1111/flan.12460</w:t>
      </w:r>
    </w:p>
    <w:p>
      <w:pPr>
        <w:pStyle w:val="BodyText"/>
      </w:pPr>
      <w:r>
        <w:t xml:space="preserve">Gao, X., &amp; Hua, Z. (2021). Experiencing Chinese education: Learning of language and culture by international students in Chinese universities.</w:t>
      </w:r>
      <w:r>
        <w:t xml:space="preserve"> </w:t>
      </w:r>
      <w:r>
        <w:rPr>
          <w:iCs/>
          <w:i/>
        </w:rPr>
        <w:t xml:space="preserve">Language, Culture and Curriculum, 34</w:t>
      </w:r>
      <w:r>
        <w:t xml:space="preserve">(4), 353-359. https://doi.org/10.1080/07908318.2020.1871002</w:t>
      </w:r>
    </w:p>
    <w:p>
      <w:pPr>
        <w:pStyle w:val="BodyText"/>
      </w:pPr>
      <w:r>
        <w:t xml:space="preserve">Gong, Y., Gao, X., Li, M., &amp; Lai, C. (2020a). Cultural adaptation challenges and strategies during study abroad: New Zealand students in China.</w:t>
      </w:r>
      <w:r>
        <w:t xml:space="preserve"> </w:t>
      </w:r>
      <w:r>
        <w:rPr>
          <w:iCs/>
          <w:i/>
        </w:rPr>
        <w:t xml:space="preserve">Language, Culture and Curriculum, 34</w:t>
      </w:r>
      <w:r>
        <w:t xml:space="preserve">(4), 417-437. https://doi.org/10.1080/07908318.2020.1856129</w:t>
      </w:r>
    </w:p>
    <w:p>
      <w:pPr>
        <w:pStyle w:val="BodyText"/>
      </w:pPr>
      <w:r>
        <w:t xml:space="preserve">Gong, Y., Gao, X., &amp; Lyu, B. (2020b). Teaching Chinese as a second or foreign language to non-Chinese learners in mainland China (2014-2018).</w:t>
      </w:r>
      <w:r>
        <w:t xml:space="preserve"> </w:t>
      </w:r>
      <w:r>
        <w:rPr>
          <w:iCs/>
          <w:i/>
        </w:rPr>
        <w:t xml:space="preserve">Language Teaching, 53</w:t>
      </w:r>
      <w:r>
        <w:t xml:space="preserve">(1), 44-62. https://doi.org/10.1017/S0261444819000387</w:t>
      </w:r>
    </w:p>
    <w:p>
      <w:pPr>
        <w:pStyle w:val="BodyText"/>
      </w:pPr>
      <w:r>
        <w:t xml:space="preserve">Guenier, A. W., Xing, M., &amp; Yan, J. (2026). From barriers to breakthroughs: Communicating Chinese culture to Irish learners with a multimodality online course.</w:t>
      </w:r>
      <w:r>
        <w:t xml:space="preserve"> </w:t>
      </w:r>
      <w:r>
        <w:rPr>
          <w:iCs/>
          <w:i/>
        </w:rPr>
        <w:t xml:space="preserve">Language, Culture and Curriculum</w:t>
      </w:r>
      <w:r>
        <w:t xml:space="preserve">. Advance online publication. https://doi.org/10.1080/07908318.2026.2626775</w:t>
      </w:r>
    </w:p>
    <w:p>
      <w:pPr>
        <w:pStyle w:val="BodyText"/>
      </w:pPr>
      <w:r>
        <w:t xml:space="preserve">Guerrettaz, A. M., Engman, M. M., &amp; Matsumoto, Y. (2021). Empirically defining language learning and teaching materials in use through sociomaterial perspectives.</w:t>
      </w:r>
      <w:r>
        <w:t xml:space="preserve"> </w:t>
      </w:r>
      <w:r>
        <w:rPr>
          <w:iCs/>
          <w:i/>
        </w:rPr>
        <w:t xml:space="preserve">The Modern Language Journal, 105</w:t>
      </w:r>
      <w:r>
        <w:t xml:space="preserve">(S1), 3-20. https://doi.org/10.1111/modl.12691</w:t>
      </w:r>
    </w:p>
    <w:p>
      <w:pPr>
        <w:pStyle w:val="BodyText"/>
      </w:pPr>
      <w:r>
        <w:t xml:space="preserve">Helsper, E. (2021).</w:t>
      </w:r>
      <w:r>
        <w:t xml:space="preserve"> </w:t>
      </w:r>
      <w:r>
        <w:rPr>
          <w:iCs/>
          <w:i/>
        </w:rPr>
        <w:t xml:space="preserve">The digital disconnect: The social causes and consequences of digital inequalities</w:t>
      </w:r>
      <w:r>
        <w:t xml:space="preserve">. SAGE.</w:t>
      </w:r>
    </w:p>
    <w:p>
      <w:pPr>
        <w:pStyle w:val="BodyText"/>
      </w:pPr>
      <w:r>
        <w:t xml:space="preserve">Hodges, C., Moore, S., Lockee, B., Trust, T., &amp; Bond, A. (2020). The difference between emergency remote teaching and online learning.</w:t>
      </w:r>
      <w:r>
        <w:t xml:space="preserve"> </w:t>
      </w:r>
      <w:r>
        <w:rPr>
          <w:iCs/>
          <w:i/>
        </w:rPr>
        <w:t xml:space="preserve">EDUCAUSE Review</w:t>
      </w:r>
      <w:r>
        <w:t xml:space="preserve">. https://er.educause.edu/articles/2020/3/the-difference-between-emergency-remote-teaching-and-online-learning</w:t>
      </w:r>
    </w:p>
    <w:p>
      <w:pPr>
        <w:pStyle w:val="BodyText"/>
      </w:pPr>
      <w:r>
        <w:t xml:space="preserve">Jamil, S., &amp; Muschert, G. (2023). The COVID-19 pandemic and e-learning: The digital divide and educational crises in Pakistan’s universities.</w:t>
      </w:r>
      <w:r>
        <w:t xml:space="preserve"> </w:t>
      </w:r>
      <w:r>
        <w:rPr>
          <w:iCs/>
          <w:i/>
        </w:rPr>
        <w:t xml:space="preserve">American Behavioral Scientist, 68</w:t>
      </w:r>
      <w:r>
        <w:t xml:space="preserve">(9), 1161-1179. https://doi.org/10.1177/00027642231156779</w:t>
      </w:r>
    </w:p>
    <w:p>
      <w:pPr>
        <w:pStyle w:val="BodyText"/>
      </w:pPr>
      <w:r>
        <w:t xml:space="preserve">Kumaravadivelu, B. (2001). Toward a postmethod pedagogy.</w:t>
      </w:r>
      <w:r>
        <w:t xml:space="preserve"> </w:t>
      </w:r>
      <w:r>
        <w:rPr>
          <w:iCs/>
          <w:i/>
        </w:rPr>
        <w:t xml:space="preserve">TESOL Quarterly, 35</w:t>
      </w:r>
      <w:r>
        <w:t xml:space="preserve">(4), 537-560. https://doi.org/10.2307/3588427</w:t>
      </w:r>
    </w:p>
    <w:p>
      <w:pPr>
        <w:pStyle w:val="BodyText"/>
      </w:pPr>
      <w:r>
        <w:t xml:space="preserve">Lam, K. Y. (2024). At the intersection of multiliteracies and glocalisation: A case study in a university in Taiwan.</w:t>
      </w:r>
      <w:r>
        <w:t xml:space="preserve"> </w:t>
      </w:r>
      <w:r>
        <w:rPr>
          <w:iCs/>
          <w:i/>
        </w:rPr>
        <w:t xml:space="preserve">Language, Culture and Curriculum, 37</w:t>
      </w:r>
      <w:r>
        <w:t xml:space="preserve">(4), 472-496. https://doi.org/10.1080/07908318.2024.2354874</w:t>
      </w:r>
    </w:p>
    <w:p>
      <w:pPr>
        <w:pStyle w:val="BodyText"/>
      </w:pPr>
      <w:r>
        <w:t xml:space="preserve">Li, J., &amp; Li, C. (2024). A scoping review of the research on the teaching models of online international Chinese language teaching.</w:t>
      </w:r>
      <w:r>
        <w:t xml:space="preserve"> </w:t>
      </w:r>
      <w:r>
        <w:rPr>
          <w:iCs/>
          <w:i/>
        </w:rPr>
        <w:t xml:space="preserve">Journal of Education and Learning, 13</w:t>
      </w:r>
      <w:r>
        <w:t xml:space="preserve">(4), Article 255. https://doi.org/10.5539/jel.v13n4p255</w:t>
      </w:r>
    </w:p>
    <w:p>
      <w:pPr>
        <w:pStyle w:val="BodyText"/>
      </w:pPr>
      <w:r>
        <w:t xml:space="preserve">Lu, X., Tan, A., Ma, Y., Feng, H., &amp; Hanif, B. (2024). Scenario analysis of localization and adaptation of Chinese language teaching.</w:t>
      </w:r>
      <w:r>
        <w:t xml:space="preserve"> </w:t>
      </w:r>
      <w:r>
        <w:rPr>
          <w:iCs/>
          <w:i/>
        </w:rPr>
        <w:t xml:space="preserve">Pakistan Journal of Humanities and Social Sciences, 12</w:t>
      </w:r>
      <w:r>
        <w:t xml:space="preserve">(4), 3257-3281. https://doi.org/10.52131/pjhss.2024.v12i4.2553</w:t>
      </w:r>
    </w:p>
    <w:p>
      <w:pPr>
        <w:pStyle w:val="BodyText"/>
      </w:pPr>
      <w:r>
        <w:t xml:space="preserve">Ma, X., Gong, Y., Gao, X., &amp; Xiang, Y. (2017). The teaching of Chinese as a second or foreign language: A systematic review of the literature 2005-2015.</w:t>
      </w:r>
      <w:r>
        <w:t xml:space="preserve"> </w:t>
      </w:r>
      <w:r>
        <w:rPr>
          <w:iCs/>
          <w:i/>
        </w:rPr>
        <w:t xml:space="preserve">Journal of Multilingual and Multicultural Development, 38</w:t>
      </w:r>
      <w:r>
        <w:t xml:space="preserve">(9), 815-830. https://doi.org/10.1080/01434632.2016.1268146</w:t>
      </w:r>
    </w:p>
    <w:p>
      <w:pPr>
        <w:pStyle w:val="BodyText"/>
      </w:pPr>
      <w:r>
        <w:t xml:space="preserve">MacIntyre, P. D., Gregersen, T., &amp; Mercer, S. (2020). Language teachers’ coping strategies during the Covid-19 conversion to online teaching: Correlations with stress, wellbeing and negative emotions.</w:t>
      </w:r>
      <w:r>
        <w:t xml:space="preserve"> </w:t>
      </w:r>
      <w:r>
        <w:rPr>
          <w:iCs/>
          <w:i/>
        </w:rPr>
        <w:t xml:space="preserve">System, 94</w:t>
      </w:r>
      <w:r>
        <w:t xml:space="preserve">, Article 102352. https://doi.org/10.1016/j.system.2020.102352</w:t>
      </w:r>
    </w:p>
    <w:p>
      <w:pPr>
        <w:pStyle w:val="BodyText"/>
      </w:pPr>
      <w:r>
        <w:t xml:space="preserve">McDonough, J., &amp; Shaw, C. (2003).</w:t>
      </w:r>
      <w:r>
        <w:t xml:space="preserve"> </w:t>
      </w:r>
      <w:r>
        <w:rPr>
          <w:iCs/>
          <w:i/>
        </w:rPr>
        <w:t xml:space="preserve">Materials and methods in ELT: A teacher’s guide</w:t>
      </w:r>
      <w:r>
        <w:t xml:space="preserve"> </w:t>
      </w:r>
      <w:r>
        <w:t xml:space="preserve">(2nd ed.). Blackwell.</w:t>
      </w:r>
    </w:p>
    <w:p>
      <w:pPr>
        <w:pStyle w:val="BodyText"/>
      </w:pPr>
      <w:r>
        <w:t xml:space="preserve">Moorhouse, B. L. (2023). Teachers’ digital technology use after a period of online teaching.</w:t>
      </w:r>
      <w:r>
        <w:t xml:space="preserve"> </w:t>
      </w:r>
      <w:r>
        <w:rPr>
          <w:iCs/>
          <w:i/>
        </w:rPr>
        <w:t xml:space="preserve">ELT Journal, 77</w:t>
      </w:r>
      <w:r>
        <w:t xml:space="preserve">(4), 445-457. https://doi.org/10.1093/elt/ccac050</w:t>
      </w:r>
    </w:p>
    <w:p>
      <w:pPr>
        <w:pStyle w:val="BodyText"/>
      </w:pPr>
      <w:r>
        <w:t xml:space="preserve">Moorhouse, B. L., &amp; Kohnke, L. (2021). Responses of the English-language-teaching community to the COVID-19 pandemic.</w:t>
      </w:r>
      <w:r>
        <w:t xml:space="preserve"> </w:t>
      </w:r>
      <w:r>
        <w:rPr>
          <w:iCs/>
          <w:i/>
        </w:rPr>
        <w:t xml:space="preserve">RELC Journal, 52</w:t>
      </w:r>
      <w:r>
        <w:t xml:space="preserve">(3), 359-378. https://doi.org/10.1177/00336882211053052</w:t>
      </w:r>
    </w:p>
    <w:p>
      <w:pPr>
        <w:pStyle w:val="BodyText"/>
      </w:pPr>
      <w:r>
        <w:t xml:space="preserve">Moorhouse, B. L., Wong, K. M., &amp; Li, L. (2023). Teaching with technology in the post-pandemic digital age: Technological normalisation and AI-induced disruptions.</w:t>
      </w:r>
      <w:r>
        <w:t xml:space="preserve"> </w:t>
      </w:r>
      <w:r>
        <w:rPr>
          <w:iCs/>
          <w:i/>
        </w:rPr>
        <w:t xml:space="preserve">RELC Journal, 54</w:t>
      </w:r>
      <w:r>
        <w:t xml:space="preserve">(2), 311-320. https://doi.org/10.1177/00336882231176929</w:t>
      </w:r>
    </w:p>
    <w:p>
      <w:pPr>
        <w:pStyle w:val="BodyText"/>
      </w:pPr>
      <w:r>
        <w:t xml:space="preserve">Moser, K. M., Wei, T., &amp; Brenner, D. (2021). Remote teaching during COVID-19: Implications from a national survey of language educators.</w:t>
      </w:r>
      <w:r>
        <w:t xml:space="preserve"> </w:t>
      </w:r>
      <w:r>
        <w:rPr>
          <w:iCs/>
          <w:i/>
        </w:rPr>
        <w:t xml:space="preserve">System, 97</w:t>
      </w:r>
      <w:r>
        <w:t xml:space="preserve">, Article 102431. https://doi.org/10.1016/j.system.2020.102431</w:t>
      </w:r>
    </w:p>
    <w:p>
      <w:pPr>
        <w:pStyle w:val="BodyText"/>
      </w:pPr>
      <w:r>
        <w:t xml:space="preserve">Raza, O., &amp; Hennessy, S. (2025).</w:t>
      </w:r>
      <w:r>
        <w:t xml:space="preserve"> </w:t>
      </w:r>
      <w:r>
        <w:rPr>
          <w:iCs/>
          <w:i/>
        </w:rPr>
        <w:t xml:space="preserve">Exploring the gender differences in technology use for educational purposes at home among students in Pakistan</w:t>
      </w:r>
      <w:r>
        <w:t xml:space="preserve">. EdTech Hub. https://doi.org/10.53832/edtechhub.1099</w:t>
      </w:r>
    </w:p>
    <w:p>
      <w:pPr>
        <w:pStyle w:val="BodyText"/>
      </w:pPr>
      <w:r>
        <w:t xml:space="preserve">Shan, Z., &amp; Xu, H. (2024). Students’ conceptions and experiences of institutionalised curriculum for multilingual learning: The case of a dual-foreign-languages programme.</w:t>
      </w:r>
      <w:r>
        <w:t xml:space="preserve"> </w:t>
      </w:r>
      <w:r>
        <w:rPr>
          <w:iCs/>
          <w:i/>
        </w:rPr>
        <w:t xml:space="preserve">Language, Culture and Curriculum, 37</w:t>
      </w:r>
      <w:r>
        <w:t xml:space="preserve">(2), 230-246. https://doi.org/10.1080/07908318.2024.2313984</w:t>
      </w:r>
    </w:p>
    <w:p>
      <w:pPr>
        <w:pStyle w:val="BodyText"/>
      </w:pPr>
      <w:r>
        <w:t xml:space="preserve">Stockwell, G., &amp; Wang, Y. (2023). Exploring the challenges of technology in language teaching in the aftermath of the pandemic.</w:t>
      </w:r>
      <w:r>
        <w:t xml:space="preserve"> </w:t>
      </w:r>
      <w:r>
        <w:rPr>
          <w:iCs/>
          <w:i/>
        </w:rPr>
        <w:t xml:space="preserve">RELC Journal, 54</w:t>
      </w:r>
      <w:r>
        <w:t xml:space="preserve">(2), 474-482. https://doi.org/10.1177/00336882231168438</w:t>
      </w:r>
    </w:p>
    <w:p>
      <w:pPr>
        <w:pStyle w:val="BodyText"/>
      </w:pPr>
      <w:r>
        <w:t xml:space="preserve">Tao, J., &amp; Gao, X. (2022). Teaching and learning languages online: Challenges and responses.</w:t>
      </w:r>
      <w:r>
        <w:t xml:space="preserve"> </w:t>
      </w:r>
      <w:r>
        <w:rPr>
          <w:iCs/>
          <w:i/>
        </w:rPr>
        <w:t xml:space="preserve">System, 107</w:t>
      </w:r>
      <w:r>
        <w:t xml:space="preserve">, Article 102819. https://doi.org/10.1016/j.system.2022.102819</w:t>
      </w:r>
    </w:p>
    <w:p>
      <w:pPr>
        <w:pStyle w:val="BodyText"/>
      </w:pPr>
      <w:r>
        <w:t xml:space="preserve">Tomlinson, B. (Ed.). (2011).</w:t>
      </w:r>
      <w:r>
        <w:t xml:space="preserve"> </w:t>
      </w:r>
      <w:r>
        <w:rPr>
          <w:iCs/>
          <w:i/>
        </w:rPr>
        <w:t xml:space="preserve">Materials development in language teaching</w:t>
      </w:r>
      <w:r>
        <w:t xml:space="preserve"> </w:t>
      </w:r>
      <w:r>
        <w:t xml:space="preserve">(2nd ed.). Cambridge University Press.</w:t>
      </w:r>
    </w:p>
    <w:p>
      <w:pPr>
        <w:pStyle w:val="BodyText"/>
      </w:pPr>
      <w:r>
        <w:t xml:space="preserve">Tu, M. (2026). Time and precarity in</w:t>
      </w:r>
      <w:r>
        <w:t xml:space="preserve"> </w:t>
      </w:r>
      <w:r>
        <w:t xml:space="preserve">‘</w:t>
      </w:r>
      <w:r>
        <w:t xml:space="preserve">South–South</w:t>
      </w:r>
      <w:r>
        <w:t xml:space="preserve">’</w:t>
      </w:r>
      <w:r>
        <w:t xml:space="preserve"> </w:t>
      </w:r>
      <w:r>
        <w:t xml:space="preserve">academic mobility: A 2019–2023 longitudinal study of Pakistani PhD students and recent graduates in China.</w:t>
      </w:r>
      <w:r>
        <w:t xml:space="preserve"> </w:t>
      </w:r>
      <w:r>
        <w:rPr>
          <w:iCs/>
          <w:i/>
        </w:rPr>
        <w:t xml:space="preserve">Population, Space and Place, 32</w:t>
      </w:r>
      <w:r>
        <w:t xml:space="preserve">(2), Article e70227. https://doi.org/10.1002/psp.70227</w:t>
      </w:r>
    </w:p>
    <w:p>
      <w:pPr>
        <w:pStyle w:val="BodyText"/>
      </w:pPr>
      <w:r>
        <w:t xml:space="preserve">van Dijk, J. (2020).</w:t>
      </w:r>
      <w:r>
        <w:t xml:space="preserve"> </w:t>
      </w:r>
      <w:r>
        <w:rPr>
          <w:iCs/>
          <w:i/>
        </w:rPr>
        <w:t xml:space="preserve">The digital divide</w:t>
      </w:r>
      <w:r>
        <w:t xml:space="preserve">. Polity.</w:t>
      </w:r>
    </w:p>
    <w:p>
      <w:pPr>
        <w:pStyle w:val="BodyText"/>
      </w:pPr>
      <w:r>
        <w:t xml:space="preserve">van Lier, L. (2004).</w:t>
      </w:r>
      <w:r>
        <w:t xml:space="preserve"> </w:t>
      </w:r>
      <w:r>
        <w:rPr>
          <w:iCs/>
          <w:i/>
        </w:rPr>
        <w:t xml:space="preserve">The ecology and semiotics of language learning: A sociocultural perspective</w:t>
      </w:r>
      <w:r>
        <w:t xml:space="preserve">. Kluwer.</w:t>
      </w:r>
    </w:p>
    <w:p>
      <w:pPr>
        <w:pStyle w:val="BodyText"/>
      </w:pPr>
      <w:r>
        <w:t xml:space="preserve">Warschauer, M. (2003).</w:t>
      </w:r>
      <w:r>
        <w:t xml:space="preserve"> </w:t>
      </w:r>
      <w:r>
        <w:rPr>
          <w:iCs/>
          <w:i/>
        </w:rPr>
        <w:t xml:space="preserve">Technology and social inclusion: Rethinking the digital divide</w:t>
      </w:r>
      <w:r>
        <w:t xml:space="preserve">. MIT Press.</w:t>
      </w:r>
    </w:p>
    <w:p>
      <w:pPr>
        <w:pStyle w:val="BodyText"/>
      </w:pPr>
      <w:r>
        <w:t xml:space="preserve">Wen, X., &amp; Liu, F. (2025). Emotional dynamics of advanced Chinese as a second language learners: A Q methodology study.</w:t>
      </w:r>
      <w:r>
        <w:t xml:space="preserve"> </w:t>
      </w:r>
      <w:r>
        <w:rPr>
          <w:iCs/>
          <w:i/>
        </w:rPr>
        <w:t xml:space="preserve">Language, Culture and Curriculum, 38</w:t>
      </w:r>
      <w:r>
        <w:t xml:space="preserve">(3), 380-400. https://doi.org/10.1080/07908318.2025.2486449</w:t>
      </w:r>
    </w:p>
    <w:p>
      <w:pPr>
        <w:pStyle w:val="BodyText"/>
      </w:pPr>
      <w:r>
        <w:t xml:space="preserve">Xia, Y., Hu, Y., Wu, C., Yang, L., &amp; Lei, M. (2022). Challenges of online learning amid the COVID-19: College students’ perspective.</w:t>
      </w:r>
      <w:r>
        <w:t xml:space="preserve"> </w:t>
      </w:r>
      <w:r>
        <w:rPr>
          <w:iCs/>
          <w:i/>
        </w:rPr>
        <w:t xml:space="preserve">Frontiers in Psychology, 13</w:t>
      </w:r>
      <w:r>
        <w:t xml:space="preserve">, 1037311. https://doi.org/10.3389/fpsyg.2022.1037311</w:t>
      </w:r>
    </w:p>
    <w:p>
      <w:pPr>
        <w:pStyle w:val="BodyText"/>
      </w:pPr>
      <w:r>
        <w:t xml:space="preserve">Xu, Y., Jin, L., Deifell, E., &amp; Angus, K. (2022). Facilitating technology-based character learning in emergency remote teaching.</w:t>
      </w:r>
      <w:r>
        <w:t xml:space="preserve"> </w:t>
      </w:r>
      <w:r>
        <w:rPr>
          <w:iCs/>
          <w:i/>
        </w:rPr>
        <w:t xml:space="preserve">Foreign Language Annals, 55</w:t>
      </w:r>
      <w:r>
        <w:t xml:space="preserve">(1), 72-97. https://doi.org/10.1111/flan.12541</w:t>
      </w:r>
    </w:p>
    <w:p>
      <w:pPr>
        <w:pStyle w:val="BodyText"/>
      </w:pPr>
      <w:r>
        <w:t xml:space="preserve">Zhang, W., Wang, Y., Yang, L., &amp; Wang, C. (2020). Suspending classes without stopping learning: China’s education emergency management policy in the COVID-19 outbreak.</w:t>
      </w:r>
      <w:r>
        <w:t xml:space="preserve"> </w:t>
      </w:r>
      <w:r>
        <w:rPr>
          <w:iCs/>
          <w:i/>
        </w:rPr>
        <w:t xml:space="preserve">Journal of Risk and Financial Management, 13</w:t>
      </w:r>
      <w:r>
        <w:t xml:space="preserve">(3), 55. https://doi.org/10.3390/jrfm13030055</w:t>
      </w:r>
    </w:p>
    <w:p>
      <w:pPr>
        <w:pStyle w:val="BodyText"/>
      </w:pPr>
      <w:r>
        <w:t xml:space="preserve">Zhao, H., &amp; Huang, J. (2010). China’s policy of Chinese as a foreign language and the use of overseas Confucius Institutes.</w:t>
      </w:r>
      <w:r>
        <w:t xml:space="preserve"> </w:t>
      </w:r>
      <w:r>
        <w:rPr>
          <w:iCs/>
          <w:i/>
        </w:rPr>
        <w:t xml:space="preserve">Educational Research for Policy and Practice, 9</w:t>
      </w:r>
      <w:r>
        <w:t xml:space="preserve">(2), 127-142. https://doi.org/10.1007/s10671-009-9078-1</w:t>
      </w:r>
    </w:p>
    <w:p>
      <w:pPr>
        <w:pStyle w:val="BodyText"/>
      </w:pPr>
      <w:r>
        <w:t xml:space="preserve">Zhao, K. (2020). Localising Chinese language curriculum construction: A case study in an Australian primary school.</w:t>
      </w:r>
      <w:r>
        <w:t xml:space="preserve"> </w:t>
      </w:r>
      <w:r>
        <w:rPr>
          <w:iCs/>
          <w:i/>
        </w:rPr>
        <w:t xml:space="preserve">Global Chinese, 6</w:t>
      </w:r>
      <w:r>
        <w:t xml:space="preserve">(2), 263-288. https://doi.org/10.1515/glochi-2020-0014</w:t>
      </w:r>
    </w:p>
    <w:bookmarkEnd w:id="44"/>
    <w:bookmarkEnd w:id="45"/>
    <w:sectPr w:rsidR="00FC693F" w:rsidRPr="0006063C" w:rsidSect="0003461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embedSystemFonts/>
  <w:stylePaneFormatFilter w:val="0004"/>
  <w:footnotePr>
    <w:footnote w:id="-1"/>
    <w:footnote w:id="0"/>
  </w:footnotePr>
  <w:doNotTrackMoves/>
  <w:drawingGridHorizontalSpacing w:val="360"/>
  <w:drawingGridVerticalSpacing w:val="360"/>
  <w:displayHorizontalDrawingGridEvery w:val="0"/>
  <w:displayVerticalDrawingGridEvery w:val="0"/>
  <w:rsids>
  </w:rsids>
  <w:clrSchemeMapping w:accent1="accent1" w:accent2="accent2" w:accent3="accent3" w:accent4="accent4" w:accent5="accent5" w:accent6="accent6" w:bg1="light1" w:bg2="light2" w:followedHyperlink="followedHyperlink" w:hyperlink="hyperlink" w:t1="dark1" w:t2="dark2"/>
  <w:zoom w:val="bestFit"/>
  <w:proofState w:grammar="clean" w:spelling="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spacing w:after="0" w:line="480" w:lineRule="auto"/>
    </w:pPr>
    <w:rPr>
      <w:rFonts w:ascii="Times New Roman" w:hAnsi="Times New Roman"/>
      <w:color w:val="000000"/>
      <w:sz w:val="24"/>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0" w:before="480"/>
      <w:outlineLvl w:val="0"/>
    </w:pPr>
    <w:rPr>
      <w:rFonts w:ascii="Times New Roman" w:asciiTheme="majorHAnsi" w:cstheme="majorBidi" w:eastAsiaTheme="majorEastAsia" w:hAnsi="Times New Roman" w:hAnsiTheme="majorHAnsi"/>
      <w:b/>
      <w:bCs/>
      <w:color w:val="000000"/>
      <w:sz w:val="28"/>
      <w:szCs w:val="28"/>
    </w:rPr>
  </w:style>
  <w:style w:styleId="Heading2" w:type="paragraph">
    <w:name w:val="heading 2"/>
    <w:basedOn w:val="Normal"/>
    <w:next w:val="Normal"/>
    <w:link w:val="Heading2Char"/>
    <w:uiPriority w:val="9"/>
    <w:unhideWhenUsed/>
    <w:qFormat/>
    <w:rsid w:val="00FC693F"/>
    <w:pPr>
      <w:keepNext/>
      <w:keepLines/>
      <w:spacing w:after="0" w:before="200"/>
      <w:outlineLvl w:val="1"/>
    </w:pPr>
    <w:rPr>
      <w:rFonts w:ascii="Times New Roman" w:asciiTheme="majorHAnsi" w:cstheme="majorBidi" w:eastAsiaTheme="majorEastAsia" w:hAnsi="Times New Roman" w:hAnsiTheme="majorHAnsi"/>
      <w:b/>
      <w:bCs/>
      <w:color w:val="000000"/>
      <w:sz w:val="26"/>
      <w:szCs w:val="26"/>
    </w:rPr>
  </w:style>
  <w:style w:styleId="Heading3" w:type="paragraph">
    <w:name w:val="heading 3"/>
    <w:basedOn w:val="Normal"/>
    <w:next w:val="Normal"/>
    <w:link w:val="Heading3Char"/>
    <w:uiPriority w:val="9"/>
    <w:unhideWhenUsed/>
    <w:qFormat/>
    <w:rsid w:val="00FC693F"/>
    <w:pPr>
      <w:keepNext/>
      <w:keepLines/>
      <w:spacing w:after="0" w:before="200"/>
      <w:outlineLvl w:val="2"/>
    </w:pPr>
    <w:rPr>
      <w:rFonts w:ascii="Times New Roman" w:asciiTheme="majorHAnsi" w:cstheme="majorBidi" w:eastAsiaTheme="majorEastAsia" w:hAnsi="Times New Roman" w:hAnsiTheme="majorHAnsi"/>
      <w:b/>
      <w:bCs/>
      <w:color w:val="000000"/>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pPr>
    <w:rPr>
      <w:rFonts w:ascii="Times New Roman" w:asciiTheme="majorHAnsi" w:cstheme="majorBidi" w:eastAsiaTheme="majorEastAsia" w:hAnsi="Times New Roman" w:hAnsiTheme="majorHAnsi"/>
      <w:color w:val="000000"/>
      <w:spacing w:val="5"/>
      <w:kern w:val="28"/>
      <w:sz w:val="5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Theme="majorHAnsi" w:cstheme="majorBidi" w:eastAsiaTheme="majorEastAsia" w:hAnsiTheme="majorHAnsi"/>
      <w:i/>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2026-08-23T09:55:25Z</dcterms:created>
  <dcterms:modified xsi:type="dcterms:W3CDTF">2026-08-23T09:55:25Z</dcterms:modified>
</cp:coreProperties>
</file>

<file path=docProps/custom.xml><?xml version="1.0" encoding="utf-8"?>
<Properties xmlns="http://schemas.openxmlformats.org/officeDocument/2006/custom-properties" xmlns:vt="http://schemas.openxmlformats.org/officeDocument/2006/docPropsVTypes"/>
</file>