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Mainly Pakistani respondents reporting online Chinese coursework: household infrastructure and platform access during emergency remote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Please consider this exploratory questionnaire study (N = 38; February 2022) for the journal’s interest in curriculum implementation and in language learning inside and outside the classroom. The article proposes a bounded concept,</w:t>
      </w:r>
      <w:r>
        <w:t xml:space="preserve"> </w:t>
      </w:r>
      <w:r>
        <w:rPr>
          <w:iCs/>
          <w:i/>
        </w:rPr>
        <w:t xml:space="preserve">localisation of delivery</w:t>
      </w:r>
      <w:r>
        <w:t xml:space="preserve"> </w:t>
      </w:r>
      <w:r>
        <w:t xml:space="preserve">(institutional adaptation of time, platform, task, participation mode, and assessment). Respondents completed a Chinese-language questionnaire about online Chinese learning; 37 selected Pakistani nationality. Chinese-university enrolment and physical location were not independently verified. Emergency remote teaching is the historical setting, not the theoretical centre. The article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2026-08-23T09:55:26Z</dcterms:created>
  <dcterms:modified xsi:type="dcterms:W3CDTF">2026-08-23T09:55:26Z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