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article reports an exploratory questionnaire study of how 38 self-selected respondents experienced emergency remote teaching in online Chinese-language courses. Thirty-seven selected Pakistani nationality. It proposes</w:t>
      </w:r>
      <w:r>
        <w:t xml:space="preserve"> </w:t>
      </w:r>
      <w:r>
        <w:rPr>
          <w:iCs/>
          <w:i/>
        </w:rPr>
        <w:t xml:space="preserve">localisation of delivery</w:t>
      </w:r>
      <w:r>
        <w:t xml:space="preserve">—the institutional adaptation of time, platform, task, participation mode, and assessment to the receiving context—and uses the questionnaire to identify learner-side conditions that such practices would need to address, rather than to measure institutional adaptation itself. Adults completed a Chinese-language Wenjuan questionnaire in February 2022.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stress category (11/14 versus 3/24; Fisher’s exact (p = .00008)). Worse reported internet speed was associated with a more negative appraisal of online learning ((</w:t>
      </w:r>
      <w:r>
        <w:t xml:space="preserve">= .65), 95% bootstrap CI ([.36, .84])). Platform access was uneven: QQ and Chaoxing were frequently marked unusable, while Zoom and WhatsApp were more often marked available. The findings suggest that localisation in international Chinese language education (ICLE) may need to take delivery-context fit as seriously as content and materials. The 2022 convenience sample is small, and the results are not read as evidence of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The relations among language, culture, and curriculum become especially visible when Chinese is taught beyond the setting in which a course was first designed. Research in international Chinese language education has given close attention to learners and pedagogical practices associated with Chinese-speaking educational settings (Gong et al., 2020b; Ma et al., 2017). When that curriculum is taken elsewhere, localisation has usually meant making materials and cultural content speak to the receiving group (Lu et al., 2024; McDonough &amp; Shaw, 2003; Tomlinson, 2011; Zhao, 2020). The same concern runs through postmethod and localist arguments that pedagogy should answer to a particular group of learners and a particular place (Canagarajah, 2005; Kumaravadivelu, 2001), and through recent articles in this journal that treat curriculum as lived practice and trace how literacy work is adapted in local classrooms (Lam, 2024; Shan &amp; Xu, 2024). These approaches remain necessary. What they leave open is a more practical question of implementation: what happens when the institutional arrangements of the course travel as well—its timetable, required platforms, tasks, expected ways of taking part, and assessment.</w:t>
      </w:r>
    </w:p>
    <w:p>
      <w:pPr>
        <w:pStyle w:val="BodyText"/>
      </w:pPr>
      <w:r>
        <w:t xml:space="preserve">If the significance of materials lies in their situated use rather than only in their printed content (Guerrettaz et al., 2021), localisation cannot stop at the page. This article proposes</w:t>
      </w:r>
      <w:r>
        <w:t xml:space="preserve"> </w:t>
      </w:r>
      <w:r>
        <w:rPr>
          <w:iCs/>
          <w:i/>
        </w:rPr>
        <w:t xml:space="preserve">localisation of delivery</w:t>
      </w:r>
      <w:r>
        <w:t xml:space="preserve"> </w:t>
      </w:r>
      <w:r>
        <w:t xml:space="preserve">as a way of naming the institutional work of adapting time, platform, task, participation mode, and assessment to the receiving context. The idea is close to, but narrower than, accessibility and digital inclusion (Warschauer, 2003). It asks how institutional decisions enable or constrain access once a course has left the setting for which it was designed. A course may be locally relevant in content but inaccessible in delivery.</w:t>
      </w:r>
    </w:p>
    <w:p>
      <w:pPr>
        <w:pStyle w:val="BodyText"/>
      </w:pPr>
      <w:r>
        <w:t xml:space="preserve">Emergency remote teaching during COVID-19 provides the historical setting in which that mismatch became visible, but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emergency-remote-language-teaching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have so far said more about pedagogical adaptation on the sending side—for example, technology-based character instruction (Xu et al., 2022)—than about whether the delivery arrangements themselves remained feasible for learners working under different household and technological conditions.</w:t>
      </w:r>
    </w:p>
    <w:p>
      <w:pPr>
        <w:pStyle w:val="BodyText"/>
      </w:pPr>
      <w:r>
        <w:t xml:space="preserve">Much of the research on international students of Chinese has examined learners already on a Chinese campus (Gao &amp; Hua, 2021; Gong et al., 2020a). The present analysis is more modest in scope. It draws on a February 2022 convenience sample of 38 self-selected respondents to a Chinese-language questionnaire about online Chinese learning.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The questionnaire does not measure how institutions localised delivery; it records learner-side conditions and experiences that such practices would need to take seriously.</w:t>
      </w:r>
    </w:p>
    <w:p>
      <w:pPr>
        <w:pStyle w:val="BodyText"/>
      </w:pPr>
      <w:r>
        <w:t xml:space="preserve">Those conditions belong to respondents’ immediate learning ecologies: the domestic space, the connection, and the circumstances in which oral participation was asked for (van Lier, 2004; Warschauer, 2003). In that sense the article is as much about the culture of the class—the setting in which language work was expected to happen—as it is about the syllabus on the page. It examines how, in this 2022 sample, household infrastructure and reported platform access sat alongside stress, appraisals of online learning, and judgements about whether online Chinese-language courses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Counts are used descriptively. Associations are explored with Fisher’s exact tests and Spearman rank correlations and are not read as confirmatory tests of population-level relationships. The article proceeds as follows. Section 2 locates the study in the emergency-remote-teaching literature, in work on digital inequality and home learning ecologies, and in the proposed account of localisation of delivery. Section 3 describes the questionnaire and the limits of the sample. Sections 4 and 5 report and discuss the findings, and the final sections set out implications, limitations, and a bounded conclusion.</w:t>
      </w:r>
    </w:p>
    <w:bookmarkEnd w:id="21"/>
    <w:bookmarkStart w:id="26" w:name="Xa71efe292272ba0d775f88aaa92c3e49c1e1383"/>
    <w:p>
      <w:pPr>
        <w:pStyle w:val="Heading2"/>
      </w:pPr>
      <w:r>
        <w:t xml:space="preserve">2. Literature review and conceptual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is used here to locate the historical moment, not to stand in for the stress reports in the present questionnaire.</w:t>
      </w:r>
    </w:p>
    <w:p>
      <w:pPr>
        <w:pStyle w:val="BodyText"/>
      </w:pPr>
      <w:r>
        <w:t xml:space="preserve">After campuses reopened, later studies described a kind of technological normalisation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Xu et al. (2022) show how character teaching was adapted on the sending side. Reviews of online ICLE models continue to mention technical problems, weak interaction, and time-zone difficulty (Li &amp; Li, 2024), and learner emotion in Chinese as an additional language is already a topic in this journal (Wen &amp; Liu, 2025). Much of that writing quietly assumes a relatively stable connection. The present questionnaire cannot test whether that assumption holds for current hybrid ICLE; it can only describe what 38 respondents reported in February 2022.</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2022 questionnaire does not show how institutions adapted. What it does show is a set of learner-side conditions that would have pressed on any travelling Chinese-language course. In this sample, household infrastructure and platform access sat alongside reports of very high stress and more negative appraisals of online learning.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Xa4b283138da25a30b7a49a65f021a6e6787929a"/>
    <w:p>
      <w:pPr>
        <w:pStyle w:val="Heading2"/>
      </w:pPr>
      <w:r>
        <w:t xml:space="preserve">6. Implications for curriculum implementation</w:t>
      </w:r>
    </w:p>
    <w:p>
      <w:pPr>
        <w:pStyle w:val="FirstParagraph"/>
      </w:pPr>
      <w:r>
        <w:t xml:space="preserve">If localisation is also a question of delivery, course design has to treat time, platform, participation mode, task, and assessment as curricular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In this exploratory emergency-remote-teaching sample,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conceptual suggestion, bounded by N = 38 and by a 2022 dataset, is that ICLE localisation may need to take delivery-context fit—time, platform, task, participation mode, and assessment—as seriously as the adaptation of content and materials. A course may be locally relevant in content but inaccessible in delivery. Whether later hybrid arrangements have closed that gap is a question this study cannot answer.</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2026-08-23T09:55:25Z</dcterms:created>
  <dcterms:modified xsi:type="dcterms:W3CDTF">2026-08-23T09:55:25Z</dcterms:modified>
</cp:coreProperties>
</file>

<file path=docProps/custom.xml><?xml version="1.0" encoding="utf-8"?>
<Properties xmlns="http://schemas.openxmlformats.org/officeDocument/2006/custom-properties" xmlns:vt="http://schemas.openxmlformats.org/officeDocument/2006/docPropsVTypes"/>
</file>