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The problem of online Chinese teaching: household infrastructure and platform access among mainly Pakistani respondents during emergency remote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investigates a problem in online Chinese teaching: when a Chinese-language course moves online, learners may not be able to take the class if the timetable, platforms, tasks, and assessment do not fit the conditions in which they participate. It reads an exploratory questionnaire (N = 38) through later work on technological normalisation, online ICLE, and designed online Chinese teaching, and proposes</w:t>
      </w:r>
      <w:r>
        <w:t xml:space="preserve"> </w:t>
      </w:r>
      <w:r>
        <w:rPr>
          <w:iCs/>
          <w:i/>
        </w:rPr>
        <w:t xml:space="preserve">localisation of delivery</w:t>
      </w:r>
      <w:r>
        <w:t xml:space="preserve">.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2026-08-23T10:23:29Z</dcterms:created>
  <dcterms:modified xsi:type="dcterms:W3CDTF">2026-08-23T10:23:29Z</dcterms:modified>
</cp:coreProperties>
</file>

<file path=docProps/custom.xml><?xml version="1.0" encoding="utf-8"?>
<Properties xmlns="http://schemas.openxmlformats.org/officeDocument/2006/custom-properties" xmlns:vt="http://schemas.openxmlformats.org/officeDocument/2006/docPropsVTypes"/>
</file>