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The problem of online Chinese teaching: household infrastructure and platform access among mainly Pakistani respondents during emergency remote teaching</w:t>
      </w:r>
    </w:p>
    <w:p>
      <w:pPr>
        <w:pStyle w:val="BodyText"/>
      </w:pPr>
      <w:r>
        <w:rPr>
          <w:bCs/>
          <w:b/>
        </w:rPr>
        <w:t xml:space="preserve">Short title.</w:t>
      </w:r>
      <w:r>
        <w:t xml:space="preserve"> </w:t>
      </w:r>
      <w:r>
        <w:t xml:space="preserve">Online Chinese teaching: delivery-context fit</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2026-08-23T10:23:29Z</dcterms:created>
  <dcterms:modified xsi:type="dcterms:W3CDTF">2026-08-23T10:23:29Z</dcterms:modified>
</cp:coreProperties>
</file>

<file path=docProps/custom.xml><?xml version="1.0" encoding="utf-8"?>
<Properties xmlns="http://schemas.openxmlformats.org/officeDocument/2006/custom-properties" xmlns:vt="http://schemas.openxmlformats.org/officeDocument/2006/docPropsVTypes"/>
</file>