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98bc7e0e5302306ce1fc1a297b6ba6e6c57c4e4"/>
    <w:p>
      <w:pPr>
        <w:pStyle w:val="Heading1"/>
      </w:pPr>
      <w:r>
        <w:t xml:space="preserve">Mainly Pakistani respondents reporting online Chinese coursework: household infrastructure and platform access during emergency remote teaching</w:t>
      </w:r>
    </w:p>
    <w:p>
      <w:pPr>
        <w:pStyle w:val="FirstParagraph"/>
      </w:pPr>
      <w:r>
        <w:rPr>
          <w:bCs/>
          <w:b/>
        </w:rPr>
        <w:t xml:space="preserve">Short title:</w:t>
      </w:r>
      <w:r>
        <w:t xml:space="preserve"> </w:t>
      </w:r>
      <w:r>
        <w:t xml:space="preserve">Remote Chinese: delivery-context fit</w:t>
      </w:r>
    </w:p>
    <w:p>
      <w:pPr>
        <w:pStyle w:val="BodyText"/>
      </w:pPr>
      <w:r>
        <w:t xml:space="preserve">Heena Rathore (corresponding author)</w:t>
      </w:r>
      <w:r>
        <w:br/>
      </w:r>
      <w:r>
        <w:t xml:space="preserve">PhD student, School of Foreign Languages, Sun Yat-sen University, Guangzhou, China</w:t>
      </w:r>
      <w:r>
        <w:br/>
      </w:r>
      <w:r>
        <w:t xml:space="preserve">Email: kristine_2020@qq.com</w:t>
      </w:r>
    </w:p>
    <w:p>
      <w:pPr>
        <w:pStyle w:val="BodyText"/>
      </w:pPr>
      <w:r>
        <w:t xml:space="preserve">Cao Huimin</w:t>
      </w:r>
      <w:r>
        <w:br/>
      </w:r>
      <w:r>
        <w:t xml:space="preserve">Institute for International Communication of Chinese Culture, Beijing Foreign Studies University, Beijing, China</w:t>
      </w:r>
    </w:p>
    <w:p>
      <w:pPr>
        <w:pStyle w:val="BodyText"/>
      </w:pPr>
      <w: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Acknowledgements.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Disclosure statement.</w:t>
      </w:r>
      <w:r>
        <w:t xml:space="preserve"> </w:t>
      </w:r>
      <w:r>
        <w:t xml:space="preserve">No potential conflict of interest was reported by the authors.</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analytical dataset, codebook, and analysis syntax are available in a public repository. Variables that could increase re-identification risk in this small convenience sample have been removed or coarsened. Files containing names, IP addresses, timestamps, or device identifiers will not be shared.</w:t>
      </w:r>
    </w:p>
    <w:bookmarkStart w:id="20" w:name="abstract"/>
    <w:p>
      <w:pPr>
        <w:pStyle w:val="Heading2"/>
      </w:pPr>
      <w:r>
        <w:t xml:space="preserve">Abstract</w:t>
      </w:r>
    </w:p>
    <w:p>
      <w:pPr>
        <w:pStyle w:val="FirstParagraph"/>
      </w:pPr>
      <w:r>
        <w:t xml:space="preserve">This exploratory questionnaire study examines how a self-selected group of respondents reporting online Chinese-language courses, likely connected to Chinese higher education, experienced emergency remote teaching when live instruction moved off campus. It proposes</w:t>
      </w:r>
      <w:r>
        <w:t xml:space="preserve"> </w:t>
      </w:r>
      <w:r>
        <w:rPr>
          <w:iCs/>
          <w:i/>
        </w:rPr>
        <w:t xml:space="preserve">localisation of delivery</w:t>
      </w:r>
      <w:r>
        <w:t xml:space="preserve">: institutional adaptation of time, platform, task, participation mode, and assessment to the receiving context. The study does not measure institutional localisation practices; it identifies learner-side conditions that such practices would need to address. Thirty-eight adults completed a Chinese-medium Wenjuan questionnaire in February 2022. Unstable networks (76.3%) and power interruptions (42.1%) were commonly reported, while 36.8% reported very high stress. Respondents who reported that home conditions affected study</w:t>
      </w:r>
      <w:r>
        <w:t xml:space="preserve"> </w:t>
      </w:r>
      <w:r>
        <w:t xml:space="preserve">“</w:t>
      </w:r>
      <w:r>
        <w:t xml:space="preserve">very much</w:t>
      </w:r>
      <w:r>
        <w:t xml:space="preserve">”</w:t>
      </w:r>
      <w:r>
        <w:t xml:space="preserve"> </w:t>
      </w:r>
      <w:r>
        <w:t xml:space="preserve">more often reported very high stress (11/14 versus 3/24; Fisher’s exact (p = .00008)). Worse reported internet speed was associated with a more negative appraisal of online learning ((</w:t>
      </w:r>
      <w:r>
        <w:t xml:space="preserve">= .65), 95% bootstrap CI ([.36, .84])). Respondents also reported uneven platform access, with QQ and Chaoxing frequently marked unusable and Zoom and WhatsApp more often marked available. The findings suggest that ICLE localisation may need to address delivery-context fit alongside content and materials adaptation. Given the small 2022 convenience sample, the findings are exploratory and do not represent current hybrid practice.</w:t>
      </w:r>
    </w:p>
    <w:p>
      <w:pPr>
        <w:pStyle w:val="BodyText"/>
      </w:pPr>
      <w:r>
        <w:rPr>
          <w:bCs/>
          <w:b/>
        </w:rPr>
        <w:t xml:space="preserve">Keywords:</w:t>
      </w:r>
      <w:r>
        <w:t xml:space="preserve"> </w:t>
      </w:r>
      <w:r>
        <w:t xml:space="preserve">localisation of delivery; Chinese as an additional language; digital inequality; emergency remote teaching; Pakistan; household infrastructure</w:t>
      </w:r>
    </w:p>
    <w:bookmarkEnd w:id="20"/>
    <w:bookmarkStart w:id="21" w:name="introduction"/>
    <w:p>
      <w:pPr>
        <w:pStyle w:val="Heading2"/>
      </w:pPr>
      <w:r>
        <w:t xml:space="preserve">1. Introduction</w:t>
      </w:r>
    </w:p>
    <w:p>
      <w:pPr>
        <w:pStyle w:val="FirstParagraph"/>
      </w:pPr>
      <w:r>
        <w:t xml:space="preserve">Much existing work in international Chinese language education (ICLE) has examined pedagogy, learner development, and teacher education in, or towards, Chinese-speaking settings (Gong, Gao, &amp; Lyu, 2020; Ma et al., 2017). When a curriculum is transferred across settings, a prominent strand of localisation research has focused on content and materials: local examples, annotation, and cultural comparison. Postmethod and localist scholarship already requires pedagogy to fit a particular group and setting (Canagarajah, 2005; Kumaravadivelu, 2001). Recent articles in this journal treat curriculum as something students live, and glocalisation as the fitting of a travelling literacy to a local classroom (Lam, 2024; Shan &amp; Xu, 2024). Those layers remain necessary. They do not settle what happens when the institutional arrangements of the course also move across settings: its timetable, required platforms, tasks, participation mode, and assessment.</w:t>
      </w:r>
    </w:p>
    <w:p>
      <w:pPr>
        <w:pStyle w:val="BodyText"/>
      </w:pPr>
      <w:r>
        <w:t xml:space="preserve">If the significance of materials lies in their situated use rather than solely in their printed content (Guerrettaz et al., 2021), localisation must extend beyond the page to the conditions under which teaching is delivered. This paper proposes</w:t>
      </w:r>
      <w:r>
        <w:t xml:space="preserve"> </w:t>
      </w:r>
      <w:r>
        <w:rPr>
          <w:iCs/>
          <w:i/>
        </w:rPr>
        <w:t xml:space="preserve">localisation of delivery</w:t>
      </w:r>
      <w:r>
        <w:t xml:space="preserve">: the institutional adaptation of time, platform, task, participation mode, and assessment to the receiving context. Localisation of delivery does not replace the concepts of accessibility or digital inclusion (Warschauer, 2003). It draws attention specifically to the institutional decisions through which access is enabled or constrained when a course moves across settings. A course may be locally relevant in content but inaccessible in delivery.</w:t>
      </w:r>
    </w:p>
    <w:p>
      <w:pPr>
        <w:pStyle w:val="BodyText"/>
      </w:pPr>
      <w:r>
        <w:t xml:space="preserve">The study does not directly measure institutional localisation practices. Instead, it identifies learner-side conditions and reported experiences that such practices would need to address.</w:t>
      </w:r>
    </w:p>
    <w:p>
      <w:pPr>
        <w:pStyle w:val="BodyText"/>
      </w:pPr>
      <w:r>
        <w:t xml:space="preserve">COVID-19 emergency remote teaching is the historical setting in which that mismatch became visible, not the theoretical centre of the argument (Hodges et al., 2020). Language programmes that transferred campus sessions to videoconferencing reported thinner interaction, technical disruption, and the entry of the domestic setting into the lesson (Gacs et al., 2020; MacIntyre et al., 2020; Moser et al., 2021; Tao &amp; Gao, 2022). Drawing on research concerning emergency remote language teaching (Gacs et al., 2020), this paper uses</w:t>
      </w:r>
      <w:r>
        <w:t xml:space="preserve"> </w:t>
      </w:r>
      <w:r>
        <w:rPr>
          <w:iCs/>
          <w:i/>
        </w:rPr>
        <w:t xml:space="preserve">travelling course</w:t>
      </w:r>
      <w:r>
        <w:t xml:space="preserve"> </w:t>
      </w:r>
      <w:r>
        <w:t xml:space="preserve">to describe an institutionally designed course whose timetable, platforms, tasks, and assessment were created for one setting but enacted in another. The studies of Chinese-language emergency teaching reviewed here primarily concern pedagogical adaptation on the sending side, for example technology-based character instruction (Xu et al., 2022). Comparatively less attention has been given to whether delivery arrangements remained feasible for respondents taking online Chinese-language courses off campus. Emergency-period Chinese-university language courses often relied on synchronous class sessions and platforms used in Chinese higher education, although this questionnaire did not document the specific institutional requirements faced by each respondent.</w:t>
      </w:r>
    </w:p>
    <w:p>
      <w:pPr>
        <w:pStyle w:val="BodyText"/>
      </w:pPr>
      <w:r>
        <w:t xml:space="preserve">A prominent strand of research on international students of Chinese has examined learners already on a Chinese campus (Gao &amp; Hua, 2021; Gong, Gao, Li, &amp; Lai, 2020). Tu (2026) documents Pakistani doctoral mobility to China as one educational pathway shaped by scholarships and closer Pakistan–China ties. That literature supplies context. It does not define the present sample. The analysis draws on a February 2022 convenience sample of 38 self-selected respondents to a Chinese-medium questionnaire about online Chinese learning. Twenty-seven respondents (71.1%) reported that required courses were online, and 23 (60.5%) reported that electives were online. Because institutional affiliation, programme status, recruitment pathway, and physical location were not verified, the group is described as a self-selected group of respondents reporting participation in online Chinese-language courses, likely connected to Chinese higher education. The findings are treated as exploratory rather than representative.</w:t>
      </w:r>
    </w:p>
    <w:p>
      <w:pPr>
        <w:pStyle w:val="BodyText"/>
      </w:pPr>
      <w:r>
        <w:t xml:space="preserve">The receiving setting reported in the questionnaire is a home learning ecology: domestic space, connectivity, and the conditions of oral participation (van Lier, 2004; Warschauer, 2003). Other research on Pakistani university e-learning during COVID-19 has reported uneven internet access and ICT skills (Jamil &amp; Muschert, 2023). That work is background only. This paper asks what relationships were observed, in this 2022 convenience sample, between household infrastructure, reported platform access, stress, respondents’ appraisal of online learning, and judgements of whether online Chinese could replace campus classes.</w:t>
      </w:r>
    </w:p>
    <w:p>
      <w:pPr>
        <w:pStyle w:val="BodyText"/>
      </w:pPr>
      <w:r>
        <w:t xml:space="preserve">Three questions guide the analysis:</w:t>
      </w:r>
    </w:p>
    <w:p>
      <w:pPr>
        <w:numPr>
          <w:ilvl w:val="0"/>
          <w:numId w:val="1001"/>
        </w:numPr>
        <w:pStyle w:val="Compact"/>
      </w:pPr>
      <w:r>
        <w:t xml:space="preserve">What household, connectivity, and platform-access conditions did respondents report?</w:t>
      </w:r>
    </w:p>
    <w:p>
      <w:pPr>
        <w:numPr>
          <w:ilvl w:val="0"/>
          <w:numId w:val="1001"/>
        </w:numPr>
        <w:pStyle w:val="Compact"/>
      </w:pPr>
      <w:r>
        <w:t xml:space="preserve">In this sample, what relationships were observed between selected household and connectivity reports, very high stress, and respondents’ appraisal of online learning?</w:t>
      </w:r>
    </w:p>
    <w:p>
      <w:pPr>
        <w:numPr>
          <w:ilvl w:val="0"/>
          <w:numId w:val="1001"/>
        </w:numPr>
        <w:pStyle w:val="Compact"/>
      </w:pPr>
      <w:r>
        <w:t xml:space="preserve">How did respondents judge whether online Chinese could replace campus classes?</w:t>
      </w:r>
    </w:p>
    <w:p>
      <w:pPr>
        <w:pStyle w:val="FirstParagraph"/>
      </w:pPr>
      <w:r>
        <w:t xml:space="preserve">The analysis is exploratory. Associations are reported as counts, exact tests, and rank correlations in this network. They are not confirmatory tests of a population model.</w:t>
      </w:r>
    </w:p>
    <w:bookmarkEnd w:id="21"/>
    <w:bookmarkStart w:id="26" w:name="literature-and-framework"/>
    <w:p>
      <w:pPr>
        <w:pStyle w:val="Heading2"/>
      </w:pPr>
      <w:r>
        <w:t xml:space="preserve">2. Literature and framework</w:t>
      </w:r>
    </w:p>
    <w:bookmarkStart w:id="22" w:name="X466d9fa4ba9675c3d2d096fe48fd97f00c4a10c"/>
    <w:p>
      <w:pPr>
        <w:pStyle w:val="Heading3"/>
      </w:pPr>
      <w:r>
        <w:t xml:space="preserve">2.1 Emergency remote teaching as historical context</w:t>
      </w:r>
    </w:p>
    <w:p>
      <w:pPr>
        <w:pStyle w:val="FirstParagraph"/>
      </w:pPr>
      <w:r>
        <w:t xml:space="preserve">Hodges et al. (2020) distinguished emergency remote teaching from planned online or blended courses. Gacs, Goertler and Spasova (2020) applied that distinction to languages. Empirical surveys of language educators report increased workload, stress, and uneven preparedness when instruction moved online (MacIntyre et al., 2020; Moser et al., 2021). Tao and Gao (2022) synthesise the wider online-language literature as a problem of technical disruption, thinner engagement, and the need for language-specific support. Those studies are cited as emergency-teaching context, not as direct evidence of student stress in the present dataset.</w:t>
      </w:r>
    </w:p>
    <w:p>
      <w:pPr>
        <w:pStyle w:val="BodyText"/>
      </w:pPr>
      <w:r>
        <w:t xml:space="preserve">Later work described technological normalisation after the return to campus (Moorhouse, 2023; Moorhouse, Wong, &amp; Li, 2023) and warned that copying face-to-face teaching on videoconferencing was a limited lesson from the crisis (Stockwell &amp; Wang, 2023). For Chinese, contemporaneous papers documented</w:t>
      </w:r>
      <w:r>
        <w:t xml:space="preserve"> </w:t>
      </w:r>
      <w:r>
        <w:t xml:space="preserve">“</w:t>
      </w:r>
      <w:r>
        <w:t xml:space="preserve">suspending classes without stopping learning</w:t>
      </w:r>
      <w:r>
        <w:t xml:space="preserve">”</w:t>
      </w:r>
      <w:r>
        <w:t xml:space="preserve"> </w:t>
      </w:r>
      <w:r>
        <w:t xml:space="preserve">and platform trials (Zhang et al., 2020; Xia et al., 2022). Xu et al. (2022) show that Chinese-character teaching during emergency remote instruction was adapted on the sending side. A later review of online ICLE teaching models still lists technical issues, weak interaction, and time-zone problems (Li &amp; Li, 2024). Learner emotion in Chinese as an additional language is already studied in this journal (Wen &amp; Liu, 2025). Much of that literature assumes a relatively stable connection. This exploratory questionnaire cannot test whether that assumption holds for current hybrid ICLE. It can describe what 38 respondents reported in February 2022.</w:t>
      </w:r>
    </w:p>
    <w:bookmarkEnd w:id="22"/>
    <w:bookmarkStart w:id="23" w:name="X2a1706acb855f9b47e20bf43e0bff03a0be2114"/>
    <w:p>
      <w:pPr>
        <w:pStyle w:val="Heading3"/>
      </w:pPr>
      <w:r>
        <w:t xml:space="preserve">2.2 Digital inequality and home learning ecology</w:t>
      </w:r>
    </w:p>
    <w:p>
      <w:pPr>
        <w:pStyle w:val="FirstParagraph"/>
      </w:pPr>
      <w:r>
        <w:t xml:space="preserve">Later digital-divide models describe a sequence of motivational, material, skills, usage, and outcome access (van Dijk, 2020; Helsper, 2021; Warschauer, 2003). Device ownership is not the same as taking part (Ali, 2020). In Pakistani higher education during COVID-19, interview evidence shows that first-level access (internet, devices) and second-level skills were uneven, and that rural and less-resourced students were more exposed (Jamil &amp; Muschert, 2023). Household use of educational technology is also structured by device sharing, care work, and electricity (Raza &amp; Hennessy, 2025). The EdTech Hub report is grey literature. Neither source is treated as a finding about the present 38 respondents.</w:t>
      </w:r>
    </w:p>
    <w:p>
      <w:pPr>
        <w:pStyle w:val="BodyText"/>
      </w:pPr>
      <w:r>
        <w:t xml:space="preserve">Ecological views of language education take the setting of the class, not only the student plus the application, as the unit of analysis (van Lier, 2004; Guerrettaz et al., 2021). In this paper that setting is described as a</w:t>
      </w:r>
      <w:r>
        <w:t xml:space="preserve"> </w:t>
      </w:r>
      <w:r>
        <w:rPr>
          <w:iCs/>
          <w:i/>
        </w:rPr>
        <w:t xml:space="preserve">home learning ecology</w:t>
      </w:r>
      <w:r>
        <w:t xml:space="preserve">: domestic space, paid or care work, and the conditions of oral participation. Electricity interruptions, applications marked unusable, and weak bandwidth are treated as material and infrastructural conditions, not as cultural traits.</w:t>
      </w:r>
    </w:p>
    <w:bookmarkEnd w:id="23"/>
    <w:bookmarkStart w:id="24" w:name="localisation-of-delivery"/>
    <w:p>
      <w:pPr>
        <w:pStyle w:val="Heading3"/>
      </w:pPr>
      <w:r>
        <w:t xml:space="preserve">2.3 Localisation of delivery</w:t>
      </w:r>
    </w:p>
    <w:p>
      <w:pPr>
        <w:pStyle w:val="FirstParagraph"/>
      </w:pPr>
      <w:r>
        <w:t xml:space="preserve">In materials work, localisation has meant personalising content so that it speaks to a particular group (McDonough &amp; Shaw, 2003; Tomlinson, 2011). Canagarajah (2005) and Kumaravadivelu (2001) locate pedagogy in a specific group and place. China’s promotion of Chinese has long been tied to institutes, textbooks, and tests (Zhao &amp; Huang, 2010). ICLE studies have applied localisation to curriculum construction and textbook adaptation (Zhao, 2020; Lu et al., 2024). Lam (2024) treats glocalisation as fitting a travelling literacy to a local university classroom. Guerrettaz et al. (2021) extend materials from the page to use. If the significance of materials lies in situated use, localisation must also consider whether learners can access and participate in the class as delivered.</w:t>
      </w:r>
    </w:p>
    <w:p>
      <w:pPr>
        <w:pStyle w:val="BodyText"/>
      </w:pPr>
      <w:r>
        <w:t xml:space="preserve">Four layers can be distinguished:</w:t>
      </w:r>
    </w:p>
    <w:p>
      <w:pPr>
        <w:numPr>
          <w:ilvl w:val="0"/>
          <w:numId w:val="1002"/>
        </w:numPr>
        <w:pStyle w:val="Compact"/>
      </w:pPr>
      <w:r>
        <w:t xml:space="preserve">Localisation of</w:t>
      </w:r>
      <w:r>
        <w:t xml:space="preserve"> </w:t>
      </w:r>
      <w:r>
        <w:rPr>
          <w:iCs/>
          <w:i/>
        </w:rPr>
        <w:t xml:space="preserve">content</w:t>
      </w:r>
      <w:r>
        <w:t xml:space="preserve">: examples, festivals, and cultural comparison.</w:t>
      </w:r>
    </w:p>
    <w:p>
      <w:pPr>
        <w:numPr>
          <w:ilvl w:val="0"/>
          <w:numId w:val="1002"/>
        </w:numPr>
        <w:pStyle w:val="Compact"/>
      </w:pPr>
      <w:r>
        <w:t xml:space="preserve">Localisation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Localisation of</w:t>
      </w:r>
      <w:r>
        <w:t xml:space="preserve"> </w:t>
      </w:r>
      <w:r>
        <w:rPr>
          <w:iCs/>
          <w:i/>
        </w:rPr>
        <w:t xml:space="preserve">curriculum</w:t>
      </w:r>
      <w:r>
        <w:t xml:space="preserve">: pathway, hours, and assessment of a named programme (Shan &amp; Xu, 2024; Zhao, 2020).</w:t>
      </w:r>
    </w:p>
    <w:p>
      <w:pPr>
        <w:numPr>
          <w:ilvl w:val="0"/>
          <w:numId w:val="1002"/>
        </w:numPr>
        <w:pStyle w:val="Compact"/>
      </w:pPr>
      <w:r>
        <w:t xml:space="preserve">Localisation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The analysis addresses only the fourth layer. Localisation of delivery does not replace the concepts of accessibility or digital inclusion. It draws attention specifically to the institutional decisions through which access is enabled or constrained when a course moves across settings: changing the synchronous class session, the required application, the oral task, or the assessment so that the travelling course can be used where learners participate. The questionnaire did not observe institutions adapting. It recorded learner-side conditions and reported experiences that such practices would need to address.</w:t>
      </w:r>
    </w:p>
    <w:p>
      <w:pPr>
        <w:pStyle w:val="BodyText"/>
      </w:pPr>
      <w:r>
        <w:rPr>
          <w:bCs/>
          <w:b/>
        </w:rPr>
        <w:t xml:space="preserve">Proposition.</w:t>
      </w:r>
      <w:r>
        <w:t xml:space="preserve"> </w:t>
      </w:r>
      <w:r>
        <w:t xml:space="preserve">A course may be locally relevant in content but inaccessible in delivery. It is localised in delivery only when its required time, platform, participation mode, task design, and assessment are feasible in the setting where learners participate.</w:t>
      </w:r>
    </w:p>
    <w:p>
      <w:pPr>
        <w:pStyle w:val="BodyText"/>
      </w:pPr>
      <w:r>
        <w:t xml:space="preserve">Gong, Gao and Lyu (2020) review ICLE in mainland China for 2014–2018 and are cited for that pre-pandemic field map, not as post-COVID evidence. Gao and Hua (2021) and Gong, Gao, Li and Lai (2020) document international students of Chinese</w:t>
      </w:r>
      <w:r>
        <w:t xml:space="preserve"> </w:t>
      </w:r>
      <w:r>
        <w:rPr>
          <w:iCs/>
          <w:i/>
        </w:rPr>
        <w:t xml:space="preserve">in</w:t>
      </w:r>
      <w:r>
        <w:t xml:space="preserve"> </w:t>
      </w:r>
      <w:r>
        <w:t xml:space="preserve">Chinese universities. Guenier, Xing and Yan (2026) describe a designed online Chinese-culture course, which is planned online teaching rather than emergency remote teaching. The present respondents completed a Chinese-medium questionnaire about online Chinese classes. They were not a Confucius Institute classroom sample. Enrolment in a named Chinese university was not independently verified.</w:t>
      </w:r>
    </w:p>
    <w:bookmarkEnd w:id="24"/>
    <w:bookmarkStart w:id="25" w:name="conceptual-model"/>
    <w:p>
      <w:pPr>
        <w:pStyle w:val="Heading3"/>
      </w:pPr>
      <w:r>
        <w:t xml:space="preserve">2.4 Conceptual model</w:t>
      </w:r>
    </w:p>
    <w:p>
      <w:pPr>
        <w:pStyle w:val="FirstParagraph"/>
      </w:pPr>
      <w:r>
        <w:t xml:space="preserve">Figure 1 is a reading model, not a tested path. Household infrastructure and reported platform access are concurrent conditions of a travelling course. They are described as possible constraints on participation. Language investment is not part of the model.</w:t>
      </w:r>
    </w:p>
    <w:p>
      <w:pPr>
        <w:pStyle w:val="BodyText"/>
      </w:pPr>
      <w:r>
        <w:t xml:space="preserve">Figure 1. Localisation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judgements. The figure is not a causal path.</w:t>
      </w:r>
    </w:p>
    <w:bookmarkEnd w:id="25"/>
    <w:bookmarkEnd w:id="26"/>
    <w:bookmarkStart w:id="33" w:name="the-study"/>
    <w:p>
      <w:pPr>
        <w:pStyle w:val="Heading2"/>
      </w:pPr>
      <w:r>
        <w:t xml:space="preserve">3. The study</w:t>
      </w:r>
    </w:p>
    <w:bookmarkStart w:id="27" w:name="design"/>
    <w:p>
      <w:pPr>
        <w:pStyle w:val="Heading3"/>
      </w:pPr>
      <w:r>
        <w:t xml:space="preserve">3.1 Design</w:t>
      </w:r>
    </w:p>
    <w:p>
      <w:pPr>
        <w:pStyle w:val="FirstParagraph"/>
      </w:pPr>
      <w:r>
        <w:t xml:space="preserve">The study is an exploratory, cross-sectional questionnaire. It does not test a pre-registered confirmatory model. The instrument title on the Wenjuan export is 新冠肺炎期间留学生在线中文学习的影响因素 (Influencing factors in international students’ online Chinese learning during COVID-19). Complete cases were submitted between 5 and 8 February 2022 (N = 38).</w:t>
      </w:r>
    </w:p>
    <w:bookmarkEnd w:id="27"/>
    <w:bookmarkStart w:id="28" w:name="recruitment-and-eligibility"/>
    <w:p>
      <w:pPr>
        <w:pStyle w:val="Heading3"/>
      </w:pPr>
      <w:r>
        <w:t xml:space="preserve">3.2 Recruitment and eligibility</w:t>
      </w:r>
    </w:p>
    <w:p>
      <w:pPr>
        <w:pStyle w:val="FirstParagraph"/>
      </w:pPr>
      <w:r>
        <w:t xml:space="preserve">The dataset is a convenience sample. The form did not record how the link was distributed (for example WeChat, WhatsApp, email, or student groups). The research team therefore cannot name the recruitment channel. Respondents were adults who completed the Chinese-medium form about online Chinese learning. Completion of the form is not treated as proof of enrolment in a Chinese university. The form did not ask host university, city of residence that week, degree versus non-degree status, or scholarship type. Two items asked whether required courses and electives were online: 27 respondents (71.1%) reported required courses online, and 23 (60.5%) reported electives online. Those reports do not identify a named programme. The study therefore concerns a self-selected, likely Chinese-university-connected respondent group, not verified enrolment records.</w:t>
      </w:r>
    </w:p>
    <w:bookmarkEnd w:id="28"/>
    <w:bookmarkStart w:id="29" w:name="participants"/>
    <w:p>
      <w:pPr>
        <w:pStyle w:val="Heading3"/>
      </w:pPr>
      <w:r>
        <w:t xml:space="preserve">3.3 Participants</w:t>
      </w:r>
    </w:p>
    <w:p>
      <w:pPr>
        <w:pStyle w:val="FirstParagraph"/>
      </w:pPr>
      <w:r>
        <w:t xml:space="preserve">Of 38 respondents, 27 were men (71.1%) and 11 women (28.9%). Thirty-seven selected Pakistani nationality and one selected another nationality. Self-rated Chinese level was mostly advanced (22, 57.9%) or intermediate (15, 39.5%); one beginner. That label is the student’s own, not an HSK band. Years of learning Chinese clustered at three to four years (26, 68.4%). Wenjuan submission metadata classified the operating system as iPhone (24, 63.2%) or Android (14). That variable is the device used to submit the form, not a survey item about all devices used for class.</w:t>
      </w:r>
    </w:p>
    <w:p>
      <w:pPr>
        <w:pStyle w:val="BodyText"/>
      </w:pPr>
      <w:r>
        <w:t xml:space="preserve">Wenjuan automatically recorded an IP-province field. The research team coded a dummy when that field was a mainland China province name (9 of 38). IP labels are technical metadata. They can be affected by virtual private networks and proxies and are not a reliable measure of physical location. They are not used as a participant-location variable and are not the basis of a sensitivity analysis. The dummy, submission dates, and device identifiers are not included in the public dataset.</w:t>
      </w:r>
    </w:p>
    <w:p>
      <w:pPr>
        <w:pStyle w:val="BodyText"/>
      </w:pPr>
      <w:r>
        <w:t xml:space="preserve">The sample is described as a self-selected group of respondents reporting participation in online Chinese-language courses, likely connected to Chinese higher education. Thirty-seven of 38 selected Pakistani nationality. The group is not described as verified Chinese-university enrolment, as Pakistan-resident learners, as CSC students, or as a national sample.</w:t>
      </w:r>
    </w:p>
    <w:bookmarkEnd w:id="29"/>
    <w:bookmarkStart w:id="30" w:name="instrument-and-coding"/>
    <w:p>
      <w:pPr>
        <w:pStyle w:val="Heading3"/>
      </w:pPr>
      <w:r>
        <w:t xml:space="preserve">3.4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They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is coded 1 = very high to 4 = none; the focal stress analysis uses a dummy for very high stress and does not reverse the ordinal. Full directions are in Table A1.</w:t>
      </w:r>
    </w:p>
    <w:p>
      <w:pPr>
        <w:pStyle w:val="BodyText"/>
      </w:pPr>
      <w:r>
        <w:t xml:space="preserve">The export labelled one multiple-response problem as</w:t>
      </w:r>
      <w:r>
        <w:t xml:space="preserve"> </w:t>
      </w:r>
      <w:r>
        <w:t xml:space="preserve">“</w:t>
      </w:r>
      <w:r>
        <w:t xml:space="preserve">no electricity.</w:t>
      </w:r>
      <w:r>
        <w:t xml:space="preserve">”</w:t>
      </w:r>
      <w:r>
        <w:t xml:space="preserve"> </w:t>
      </w:r>
      <w:r>
        <w:t xml:space="preserve">The introduction’s references to load-shedding are contextual. In results we report the item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30"/>
    <w:bookmarkStart w:id="31" w:name="analysis"/>
    <w:p>
      <w:pPr>
        <w:pStyle w:val="Heading3"/>
      </w:pPr>
      <w:r>
        <w:t xml:space="preserve">3.5 Analysis</w:t>
      </w:r>
    </w:p>
    <w:p>
      <w:pPr>
        <w:pStyle w:val="FirstParagraph"/>
      </w:pPr>
      <w:r>
        <w:t xml:space="preserve">Frequencies are n/38 unless noted. Multiple-response items are the percentage who selected the option. Two associations were treated as focal: (a) home affects study very much × very high stress; (b) internet speed × the appraisal index. For the 2×2 table we report cell counts and two-sided Fisher’s exact</w:t>
      </w:r>
      <w:r>
        <w:t xml:space="preserve"> </w:t>
      </w:r>
      <w:r>
        <w:rPr>
          <w:iCs/>
          <w:i/>
        </w:rPr>
        <w:t xml:space="preserve">p</w:t>
      </w:r>
      <w:r>
        <w:t xml:space="preserve"> </w:t>
      </w:r>
      <w:r>
        <w:t xml:space="preserve">(SciPy</w:t>
      </w:r>
      <w:r>
        <w:t xml:space="preserve"> </w:t>
      </w:r>
      <w:r>
        <w:rPr>
          <w:rStyle w:val="VerbatimChar"/>
        </w:rPr>
        <w:t xml:space="preserve">fisher_exact</w:t>
      </w:r>
      <w:r>
        <w:t xml:space="preserve">). Odds ratios and Wald confidence intervals are not reported: at N = 38 they are unstable, and a Wald interval can disagree with Fisher’s</w:t>
      </w:r>
      <w:r>
        <w:t xml:space="preserve"> </w:t>
      </w:r>
      <w:r>
        <w:rPr>
          <w:iCs/>
          <w:i/>
        </w:rPr>
        <w:t xml:space="preserve">p</w:t>
      </w:r>
      <w:r>
        <w:t xml:space="preserve">. For the ordinal pair we report Spearman’s ρ and a percentile bootstrap 95% confidence interval calculated from 5,000 resamples. Other associations, including gender, are secondary and are placed in Appendix B.</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1"/>
    <w:bookmarkStart w:id="32" w:name="ethics-and-data-protection"/>
    <w:p>
      <w:pPr>
        <w:pStyle w:val="Heading3"/>
      </w:pPr>
      <w:r>
        <w:t xml:space="preserve">3.6 Ethics and data protection</w:t>
      </w:r>
    </w:p>
    <w:p>
      <w:pPr>
        <w:pStyle w:val="FirstParagraph"/>
      </w:pPr>
      <w:r>
        <w:t xml:space="preserve">Adult respondents completed an online form presented as research on online Chinese learning. The form stated that answers would be used for research. Completion and submission were treated as consent. Names, IP addresses, exact timestamps, and device identifiers were removed before the public file was prepared.</w:t>
      </w:r>
    </w:p>
    <w:p>
      <w:pPr>
        <w:pStyle w:val="BodyText"/>
      </w:pPr>
      <w:r>
        <w:t xml:space="preserve">No institutional ethics approval number is available for the original 2022 data collection. The first author was then an M.Phil. student; numbered approval was not obtained. This paper reports an anonymised secondary analysis of that file.</w:t>
      </w:r>
    </w:p>
    <w:bookmarkEnd w:id="32"/>
    <w:bookmarkEnd w:id="33"/>
    <w:bookmarkStart w:id="38" w:name="results"/>
    <w:p>
      <w:pPr>
        <w:pStyle w:val="Heading2"/>
      </w:pPr>
      <w:r>
        <w:t xml:space="preserve">4. Results</w:t>
      </w:r>
    </w:p>
    <w:bookmarkStart w:id="34" w:name="respondents-and-reported-conditions"/>
    <w:p>
      <w:pPr>
        <w:pStyle w:val="Heading3"/>
      </w:pPr>
      <w:r>
        <w:t xml:space="preserve">4.1 Respondents and reported conditions</w:t>
      </w:r>
    </w:p>
    <w:p>
      <w:pPr>
        <w:pStyle w:val="FirstParagraph"/>
      </w:pPr>
      <w:r>
        <w:t xml:space="preserve">Table 1 locates the sample. Most respondents (78.9%) said all of their Chinese classes were online. More than half (57.9%)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summarises reported conditions. Unstable networks (76.3%) and power interruptions (42.1%) were commonly ticked. Speed was split: 36.8% good or very good, 36.8% average, 26.3% bad or very bad. Four respondents (10.5%) said their country did not have internet, yet all 38 submitted an online form. The item wording does not allow a firm reinterpretation; we report the tick as given. Only 11 of 38 (28.9%)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Among those who said the home affected study very much, 11 of 14 also reported very high psychological stress; among the others, 3 of 24 did (two-sided Fisher’s exact</w:t>
      </w:r>
      <w:r>
        <w:t xml:space="preserve"> </w:t>
      </w:r>
      <w:r>
        <w:rPr>
          <w:iCs/>
          <w:i/>
        </w:rPr>
        <w:t xml:space="preserve">p</w:t>
      </w:r>
      <w:r>
        <w:t xml:space="preserve"> </w:t>
      </w:r>
      <w:r>
        <w:t xml:space="preserve">= .00008). This is a co-occurrence in this dataset. It is not evidence that the household caused stress. The most salient descriptive stress finding was that 36.8% reported very high stress.</w:t>
      </w:r>
    </w:p>
    <w:bookmarkEnd w:id="34"/>
    <w:bookmarkStart w:id="35" w:name="reported-platform-access"/>
    <w:p>
      <w:pPr>
        <w:pStyle w:val="Heading3"/>
      </w:pPr>
      <w:r>
        <w:t xml:space="preserve">4.2 Reported platform access</w:t>
      </w:r>
    </w:p>
    <w:p>
      <w:pPr>
        <w:pStyle w:val="FirstParagraph"/>
      </w:pPr>
      <w:r>
        <w:t xml:space="preserve">Respondents reported uneven access to institutionally familiar and consumer-facing platforms (Table 3). This pattern is interpreted as a possible platform-geography dimension of delivery-context fit. The survey cannot isolate country restrictions, routing, account rules, skills, or virtual private networks.</w:t>
      </w:r>
    </w:p>
    <w:p>
      <w:pPr>
        <w:pStyle w:val="BodyText"/>
      </w:pPr>
      <w:r>
        <w:t xml:space="preserve">Tools reported as used for class were Tencent Meeting (71.1%), Zoom (47.4%), and WeChat (31.6%). Tools marked unusable</w:t>
      </w:r>
      <w:r>
        <w:t xml:space="preserve"> </w:t>
      </w:r>
      <w:r>
        <w:t xml:space="preserve">“</w:t>
      </w:r>
      <w:r>
        <w:t xml:space="preserve">in my country</w:t>
      </w:r>
      <w:r>
        <w:t xml:space="preserve">”</w:t>
      </w:r>
      <w:r>
        <w:t xml:space="preserve"> </w:t>
      </w:r>
      <w:r>
        <w:t xml:space="preserve">included QQ (50.0%), Chaoxing (42.1%), DingTalk (28.9%), and 中国慕课 (28.9%). Tools marked available included Zoom (71.1%), WhatsApp (68.4%), Tencent Meeting (57.9%), and WeChat (39.5%). WhatsApp appears only as available; the retained form did not code whether it was used for class. Tencent Meeting was the most used class tool but was marked available by fewer respondents. That discrepancy is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5"/>
    <w:bookmarkStart w:id="36" w:name="perceived-learning-and-internet-speed"/>
    <w:p>
      <w:pPr>
        <w:pStyle w:val="Heading3"/>
      </w:pPr>
      <w:r>
        <w:t xml:space="preserve">4.3 Perceived learning and internet speed</w:t>
      </w:r>
    </w:p>
    <w:p>
      <w:pPr>
        <w:pStyle w:val="FirstParagraph"/>
      </w:pPr>
      <w:r>
        <w:t xml:space="preserve">Active interaction with the teacher</w:t>
      </w:r>
      <w:r>
        <w:t xml:space="preserve"> </w:t>
      </w:r>
      <w:r>
        <w:t xml:space="preserve">“</w:t>
      </w:r>
      <w:r>
        <w:t xml:space="preserve">very much</w:t>
      </w:r>
      <w:r>
        <w:t xml:space="preserve">”</w:t>
      </w:r>
      <w:r>
        <w:t xml:space="preserve"> </w:t>
      </w:r>
      <w:r>
        <w:t xml:space="preserve">was reported by 6 of 38 (15.8%). Classroom talk, when ticked, was mainly dialogue (76.3%) and question and answer (57.9%). Role-play was rare (7.9%).</w:t>
      </w:r>
    </w:p>
    <w:p>
      <w:pPr>
        <w:pStyle w:val="BodyText"/>
      </w:pPr>
      <w:r>
        <w:t xml:space="preserve">On the appraisal items, 18.4% said they could learn</w:t>
      </w:r>
      <w:r>
        <w:t xml:space="preserve"> </w:t>
      </w:r>
      <w:r>
        <w:t xml:space="preserve">“</w:t>
      </w:r>
      <w:r>
        <w:t xml:space="preserve">a lot</w:t>
      </w:r>
      <w:r>
        <w:t xml:space="preserve">”</w:t>
      </w:r>
      <w:r>
        <w:t xml:space="preserve"> </w:t>
      </w:r>
      <w:r>
        <w:t xml:space="preserve">online; 28.9% said little or nothing. Worse internet speed was associated with a worse appraisal index (ρ = .65,</w:t>
      </w:r>
      <w:r>
        <w:t xml:space="preserve"> </w:t>
      </w:r>
      <w:r>
        <w:rPr>
          <w:iCs/>
          <w:i/>
        </w:rPr>
        <w:t xml:space="preserve">p</w:t>
      </w:r>
      <w:r>
        <w:t xml:space="preserve"> </w:t>
      </w:r>
      <w:r>
        <w:t xml:space="preserve">&lt; .001, percentile bootstrap 95% CI [.36, .84]). A simple, unvalidated count of selected infrastructure-problem ticks (unstable network, power interruptions, no signal) was not associated with the index (ρ = .02,</w:t>
      </w:r>
      <w:r>
        <w:t xml:space="preserve"> </w:t>
      </w:r>
      <w:r>
        <w:rPr>
          <w:iCs/>
          <w:i/>
        </w:rPr>
        <w:t xml:space="preserve">p</w:t>
      </w:r>
      <w:r>
        <w:t xml:space="preserve"> </w:t>
      </w:r>
      <w:r>
        <w:t xml:space="preserve">= .91, percentile bootstrap 95% CI [−.32, .37]). The count is an exploratory post hoc descriptive indicator. Unstable network and no signal may overlap, and power interruptions are a different infrastructure layer. The non-significant correlation is therefore not interpreted as evidence that speed matters but the number of problems does not. These are rank associations, not effects of infrastructure on learning.</w:t>
      </w:r>
    </w:p>
    <w:p>
      <w:pPr>
        <w:pStyle w:val="BodyText"/>
      </w:pPr>
      <w:r>
        <w:t xml:space="preserve">Preferred live length was 45 minutes for 50%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6"/>
    <w:bookmarkStart w:id="37" w:name="X97201ae18f9cce7e94bf1bc756e03fa139ac895"/>
    <w:p>
      <w:pPr>
        <w:pStyle w:val="Heading3"/>
      </w:pPr>
      <w:r>
        <w:t xml:space="preserve">4.4 Replacement judgement (secondary gender note)</w:t>
      </w:r>
    </w:p>
    <w:p>
      <w:pPr>
        <w:pStyle w:val="FirstParagraph"/>
      </w:pPr>
      <w:r>
        <w:t xml:space="preserve">Nineteen of 38 said online study could replace campus classes and 19 said it could not. Among women, 9 of 11 said it could not; among men, 10 of 27 said so. With 11 women this is a cautious exploratory observation of perceived legitimacy in this sample. It is not a gender finding about Pakistani households and is not treated as a focal test (Appendix B).</w:t>
      </w:r>
    </w:p>
    <w:bookmarkEnd w:id="37"/>
    <w:bookmarkEnd w:id="38"/>
    <w:bookmarkStart w:id="39" w:name="discussion"/>
    <w:p>
      <w:pPr>
        <w:pStyle w:val="Heading2"/>
      </w:pPr>
      <w:r>
        <w:t xml:space="preserve">5. Discussion</w:t>
      </w:r>
    </w:p>
    <w:p>
      <w:pPr>
        <w:pStyle w:val="FirstParagraph"/>
      </w:pPr>
      <w:r>
        <w:t xml:space="preserve">This historically situated dataset suggests a possible delivery-context mismatch: respondents reporting online Chinese coursework connected to Chinese higher education also reported household power and network problems and uneven access to applications often used in that sector. Localisation of content and materials remains necessary (Zhao, 2020; Lu et al., 2024). In this sample, those layers would not have addressed the synchronous class session that respondents associated with an unstable connection or an application marked unusable.</w:t>
      </w:r>
    </w:p>
    <w:p>
      <w:pPr>
        <w:pStyle w:val="BodyText"/>
      </w:pPr>
      <w:r>
        <w:t xml:space="preserve">Based on these findings, possible design considerations, rather than established solutions, include shorter or asynchronous oral alternatives, assessment that does not assume a campus oral hour, and a required platform that respondents can open. WhatsApp was marked available here; it was not recorded as used for class. The findings do not show that later hybrid ICLE has repeated this pattern. They suggest that hybrid models</w:t>
      </w:r>
      <w:r>
        <w:t xml:space="preserve"> </w:t>
      </w:r>
      <w:r>
        <w:rPr>
          <w:iCs/>
          <w:i/>
        </w:rPr>
        <w:t xml:space="preserve">may</w:t>
      </w:r>
      <w:r>
        <w:t xml:space="preserve"> </w:t>
      </w:r>
      <w:r>
        <w:t xml:space="preserve">reproduce a similar mismatch if delivery assumptions are not examined (Stockwell &amp; Wang, 2023).</w:t>
      </w:r>
    </w:p>
    <w:p>
      <w:pPr>
        <w:pStyle w:val="BodyText"/>
      </w:pPr>
      <w:r>
        <w:t xml:space="preserve">Participation in this dataset co-occurred with reported platform access, power and connectivity problems, and a home environment that many described as not quiet. That is a description of domestic participation conditions, not a claim that inequality is</w:t>
      </w:r>
      <w:r>
        <w:t xml:space="preserve"> </w:t>
      </w:r>
      <w:r>
        <w:t xml:space="preserve">“</w:t>
      </w:r>
      <w:r>
        <w:t xml:space="preserve">cultural.</w:t>
      </w:r>
      <w:r>
        <w:t xml:space="preserve">”</w:t>
      </w:r>
    </w:p>
    <w:bookmarkEnd w:id="39"/>
    <w:bookmarkStart w:id="40" w:name="limitations"/>
    <w:p>
      <w:pPr>
        <w:pStyle w:val="Heading2"/>
      </w:pPr>
      <w:r>
        <w:t xml:space="preserve">6. Limitations</w:t>
      </w:r>
    </w:p>
    <w:p>
      <w:pPr>
        <w:pStyle w:val="FirstParagraph"/>
      </w:pPr>
      <w:r>
        <w:t xml:space="preserve">The sample is small (N = 38), network-recruited, and majority male. Recruitment channel, host university, programme type, and place of residence that week were not recorded, so Chinese-university enrolment is not independently verified. IP metadata are not a location measure. All outcomes are self-report. The appraisal index is descriptive, not a validated scale. The infrastructure-problem count is an unvalidated post hoc indicator. The form did not measure institutional adaptation, so localisation of delivery is a conceptual reading of student-side conditions. Data are from February 2022 and concern emergency remote teaching. They are not evidence about current hybrid education. No ethics-committee number is available for the 2022 collection (Section 3.6).</w:t>
      </w:r>
    </w:p>
    <w:bookmarkEnd w:id="40"/>
    <w:bookmarkStart w:id="41" w:name="conclusion"/>
    <w:p>
      <w:pPr>
        <w:pStyle w:val="Heading2"/>
      </w:pPr>
      <w:r>
        <w:t xml:space="preserve">7. Conclusion</w:t>
      </w:r>
    </w:p>
    <w:p>
      <w:pPr>
        <w:pStyle w:val="FirstParagraph"/>
      </w:pPr>
      <w:r>
        <w:t xml:space="preserve">In this exploratory emergency-remote-teaching sample of mainly Pakistani respondents reporting online Chinese coursework, reported household infrastructure and platform access co-occurred with very high stress and with more negative perceived-learning appraisal. The conceptual suggestion is that ICLE localisation may need to include delivery-context fit—time, platform, task, participation mode, and assessment—as well as content adaptation. That suggestion is bounded by N = 38 and by a 2022 dataset.</w:t>
      </w:r>
    </w:p>
    <w:bookmarkEnd w:id="41"/>
    <w:bookmarkStart w:id="42"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2"/>
    <w:bookmarkStart w:id="43"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3"/>
    <w:bookmarkStart w:id="44"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Canagarajah, A. S. (Ed.).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through sociomaterial perspectives.</w:t>
      </w:r>
      <w:r>
        <w:t xml:space="preserve"> </w:t>
      </w:r>
      <w:r>
        <w:rPr>
          <w:iCs/>
          <w:i/>
        </w:rPr>
        <w:t xml:space="preserve">The Modern Language Journal, 105</w:t>
      </w:r>
      <w:r>
        <w:t xml:space="preserve">(S1), 3-20. https://doi.org/10.1111/modl.12691</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Jamil, S., &amp; Muschert, G. (2023). The COVID-19 pandemic and e-learning: The digital divide and educational crises in Pakistan’s universities.</w:t>
      </w:r>
      <w:r>
        <w:t xml:space="preserve"> </w:t>
      </w:r>
      <w:r>
        <w:rPr>
          <w:iCs/>
          <w:i/>
        </w:rPr>
        <w:t xml:space="preserve">American Behavioral Scientist, 68</w:t>
      </w:r>
      <w:r>
        <w:t xml:space="preserve">(9), 1161-1179. https://doi.org/10.1177/00027642231156779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 X., Gong, Y., Gao, X., &amp; Xiang, Y. (2017). The teaching of Chinese as a second or foreign language: A systematic review of the literature 2005-2015.</w:t>
      </w:r>
      <w:r>
        <w:t xml:space="preserve"> </w:t>
      </w:r>
      <w:r>
        <w:rPr>
          <w:iCs/>
          <w:i/>
        </w:rPr>
        <w:t xml:space="preserve">Journal of Multilingual and Multicultural Development, 38</w:t>
      </w:r>
      <w:r>
        <w:t xml:space="preserve">(9), 815-830. https://doi.org/10.1080/01434632.2016.1268146</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Article 102352. https://doi.org/10.1016/j.system.2020.102352</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Moser, K. M., Wei, T., &amp; Brenner, D. (2021). Remote teaching during COVID-19: Implications from a national survey of language educators.</w:t>
      </w:r>
      <w:r>
        <w:t xml:space="preserve"> </w:t>
      </w:r>
      <w:r>
        <w:rPr>
          <w:iCs/>
          <w:i/>
        </w:rPr>
        <w:t xml:space="preserve">System, 97</w:t>
      </w:r>
      <w:r>
        <w:t xml:space="preserve">, Article 102431. https://doi.org/10.1016/j.system.2020.102431</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(2),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4"/>
    <w:bookmarkEnd w:id="4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2026-08-23T09:00:35Z</dcterms:created>
  <dcterms:modified xsi:type="dcterms:W3CDTF">2026-08-23T09:00:35Z</dcterms:modified>
</cp:coreProperties>
</file>

<file path=docProps/custom.xml><?xml version="1.0" encoding="utf-8"?>
<Properties xmlns="http://schemas.openxmlformats.org/officeDocument/2006/custom-properties" xmlns:vt="http://schemas.openxmlformats.org/officeDocument/2006/docPropsVTypes"/>
</file>