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93c39fec4510a5d3ad14aecff5d2131a9fc6cdc"/>
    <w:p>
      <w:pPr>
        <w:pStyle w:val="Heading1"/>
      </w:pPr>
      <w:r>
        <w:t xml:space="preserve">Home conditions and platform access for online Chinese learners</w:t>
      </w:r>
    </w:p>
    <w:p>
      <w:pPr>
        <w:pStyle w:val="FirstParagraph"/>
      </w:pPr>
      <w:r>
        <w:rPr>
          <w:bCs/>
          <w:b/>
        </w:rPr>
        <w:t xml:space="preserve">Short title:</w:t>
      </w:r>
      <w:r>
        <w:t xml:space="preserve"> </w:t>
      </w:r>
      <w:r>
        <w:t xml:space="preserve">Home and platform access</w:t>
      </w:r>
    </w:p>
    <w:bookmarkStart w:id="20" w:name="abstract"/>
    <w:p>
      <w:pPr>
        <w:pStyle w:val="Heading2"/>
      </w:pPr>
      <w:r>
        <w:t xml:space="preserve">Abstract</w:t>
      </w:r>
    </w:p>
    <w:p>
      <w:pPr>
        <w:pStyle w:val="FirstParagraph"/>
      </w:pPr>
      <w:r>
        <w:t xml:space="preserve">This study analysed 38 completed questionnaires, written in Chinese, from people who said they were taking online Chinese courses. Thirty-seven selected Pakistani nationality. Unstable networks and power interruptions were common. Respondents who said home conditions affected study very much also more often selected very high stress. Worse reported internet speed went with a more negative view of online learning. QQ and Chaoxing were often marked unusable. Zoom and WhatsApp were more often marked available. The sample is small. The questionnaires were collected in February 2022, during emergency remote teaching, so the results do not describe current hybrid practice.</w:t>
      </w:r>
    </w:p>
    <w:p>
      <w:pPr>
        <w:pStyle w:val="BodyText"/>
      </w:pPr>
      <w:r>
        <w:rPr>
          <w:bCs/>
          <w:b/>
        </w:rPr>
        <w:t xml:space="preserve">Keywords:</w:t>
      </w:r>
      <w:r>
        <w:t xml:space="preserve"> </w:t>
      </w:r>
      <w:r>
        <w:t xml:space="preserve">Chinese; online language teaching; household infrastructure; platform access; emergency remote teaching</w:t>
      </w:r>
    </w:p>
    <w:bookmarkEnd w:id="20"/>
    <w:bookmarkStart w:id="21" w:name="the-challenge"/>
    <w:p>
      <w:pPr>
        <w:pStyle w:val="Heading2"/>
      </w:pPr>
      <w:r>
        <w:t xml:space="preserve">The Challenge</w:t>
      </w:r>
    </w:p>
    <w:p>
      <w:pPr>
        <w:pStyle w:val="FirstParagraph"/>
      </w:pPr>
      <w:r>
        <w:t xml:space="preserve">If the hour, the application, the oral task, and the test all assume a quiet home and a stable connection, what should a program do when those conditions are not there?</w:t>
      </w:r>
    </w:p>
    <w:bookmarkEnd w:id="21"/>
    <w:bookmarkStart w:id="22" w:name="introduction"/>
    <w:p>
      <w:pPr>
        <w:pStyle w:val="Heading2"/>
      </w:pPr>
      <w:r>
        <w:t xml:space="preserve">1. Introduction</w:t>
      </w:r>
    </w:p>
    <w:p>
      <w:pPr>
        <w:pStyle w:val="FirstParagraph"/>
      </w:pPr>
      <w:r>
        <w:t xml:space="preserve">When Chinese teaching moved online, many programs kept the sending class’s timetable and classroom tasks. Task guides still assume that students can join a live session (Gacs et al., 2020; González-Lloret, 2020; Hodges et al., 2020; Payne, 2020; Stockwell &amp; Wang, 2023). That assumption often fails. Studies of online language teaching, including online Chinese, have already noted unstable networks, platforms that are hard to open, thinner talk, and strain (Li &amp; Li, 2024; Moser et al., 2021; Qi, 2025; Russell, 2020; Tao &amp; Gao, 2022). A device in the house is not enough if there is no power, little speed, or no usable application (Ali, 2020; Beaunoyer et al., 2020; Guo &amp; Wan, 2022; Vishnu et al., 2024; Warschauer, 2003). Distance language learning had already asked whether a remote class was even feasible (White, 2006). When those conditions do not hold, the content may still be sound, but the class is closed.</w:t>
      </w:r>
    </w:p>
    <w:p>
      <w:pPr>
        <w:pStyle w:val="BodyText"/>
      </w:pPr>
      <w:r>
        <w:t xml:space="preserve">Those difficulties are often named. They are less often measured from the learner’s side. Emergency papers used them as a backdrop for teacher workload, sending-side adaptation, or a video copy of the campus hour (MacIntyre et al., 2020; Moser et al., 2021; Xu et al., 2022). Yu and Xu (2022) surveyed South Asian students in China on online learning during the pandemic and reported generally positive learning status. Their questionnaire asked about autonomy, online learning state, and how students judged the effect. It did not count household power, network speed, or whether named applications were marked unusable. Later papers asked what should remain of that emergency practice (Moorhouse, 2023; Stockwell &amp; Wang, 2023). Reviews still list technical trouble and still say little about household access (Li &amp; Li, 2024; Xu, 2024; Zhang &amp; Osborne, 2026). Planned online courses and studies of learner emotion show what designed online Chinese teaching can look like (Guenier et al., 2026; Qi, 2025; Wen &amp; Liu, 2025). They do not show whether an online class could still be taken where learners sat. Work on international Chinese teaching has said more about what a course says than about whether learners can enter it (Gong et al., 2020b).</w:t>
      </w:r>
    </w:p>
    <w:p>
      <w:pPr>
        <w:pStyle w:val="BodyText"/>
      </w:pPr>
      <w:r>
        <w:t xml:space="preserve">This study reports questionnaire data from the learner side. Thirty-eight respondents who said they were taking online Chinese courses completed a form written in Chinese in February 2022. The form asked about home conditions, connectivity, and platform access, and about stress and their view of online learning. Thirty-seven selected Pakistani nationality. Residence, university, and program were not asked, so those boxes are not inferred. The study asks:</w:t>
      </w:r>
    </w:p>
    <w:p>
      <w:pPr>
        <w:pStyle w:val="BodyText"/>
      </w:pPr>
      <w:r>
        <w:rPr>
          <w:bCs/>
          <w:b/>
        </w:rPr>
        <w:t xml:space="preserve">RQ1.</w:t>
      </w:r>
      <w:r>
        <w:t xml:space="preserve"> </w:t>
      </w:r>
      <w:r>
        <w:t xml:space="preserve">What household, connectivity, and platform-access conditions did the 38 respondents report?</w:t>
      </w:r>
    </w:p>
    <w:p>
      <w:pPr>
        <w:pStyle w:val="BodyText"/>
      </w:pPr>
      <w:r>
        <w:rPr>
          <w:bCs/>
          <w:b/>
        </w:rPr>
        <w:t xml:space="preserve">RQ2.</w:t>
      </w:r>
      <w:r>
        <w:t xml:space="preserve"> </w:t>
      </w:r>
      <w:r>
        <w:t xml:space="preserve">How did those conditions sit alongside</w:t>
      </w:r>
      <w:r>
        <w:t xml:space="preserve"> </w:t>
      </w:r>
      <w:r>
        <w:t xml:space="preserve">“</w:t>
      </w:r>
      <w:r>
        <w:t xml:space="preserve">very high stress</w:t>
      </w:r>
      <w:r>
        <w:t xml:space="preserve">”</w:t>
      </w:r>
      <w:r>
        <w:t xml:space="preserve"> </w:t>
      </w:r>
      <w:r>
        <w:t xml:space="preserve">and their appraisals of online learning?</w:t>
      </w:r>
    </w:p>
    <w:p>
      <w:pPr>
        <w:pStyle w:val="BodyText"/>
      </w:pPr>
      <w:r>
        <w:t xml:space="preserve">The form also asked whether online study could replace campus classes. That item is reported as a count.</w:t>
      </w:r>
    </w:p>
    <w:p>
      <w:pPr>
        <w:pStyle w:val="BodyText"/>
      </w:pPr>
      <w:r>
        <w:t xml:space="preserve">The frequencies describe the sample. The two associations in RQ2 are exploratory tests on these data.</w:t>
      </w:r>
    </w:p>
    <w:bookmarkEnd w:id="22"/>
    <w:bookmarkStart w:id="25" w:name="literature-review"/>
    <w:p>
      <w:pPr>
        <w:pStyle w:val="Heading2"/>
      </w:pPr>
      <w:r>
        <w:t xml:space="preserve">2. Literature review</w:t>
      </w:r>
    </w:p>
    <w:bookmarkStart w:id="23" w:name="later-lenses-on-online-chinese-teaching"/>
    <w:p>
      <w:pPr>
        <w:pStyle w:val="Heading3"/>
      </w:pPr>
      <w:r>
        <w:t xml:space="preserve">2.1 Later lenses on online Chinese teaching</w:t>
      </w:r>
    </w:p>
    <w:p>
      <w:pPr>
        <w:pStyle w:val="FirstParagraph"/>
      </w:pPr>
      <w:r>
        <w:t xml:space="preserve">Hodges et al. (2020) distinguished emergency remote teaching from planned online provision. Gacs, Goertler, and Spasova (2020) brought that distinction into language education. Language-teacher surveys from the same period describe heavier workloads and uneven preparedness (Moser et al., 2021). Tao and Gao (2022) read the wider literature as a story of technical disruption and thinner engagement. In this journal, Russell (2020) treats language anxiety as a condition of the online learner, and Lomicka (2020) treats interaction as a problem of virtual community rather than of a copied campus hour. That work locates the moment in which the present questionnaire was completed. It is not a substitute for the stress reports in this sample.</w:t>
      </w:r>
    </w:p>
    <w:p>
      <w:pPr>
        <w:pStyle w:val="BodyText"/>
      </w:pPr>
      <w:r>
        <w:t xml:space="preserve">After the return to campus, studies asked what should remain of emergency online practice (Moorhouse, 2023) and cautioned against treating a videoconference copy of the classroom as the lesson of the crisis (Stockwell &amp; Wang, 2023). For Chinese, contemporaneous policy writing recorded</w:t>
      </w:r>
      <w:r>
        <w:t xml:space="preserve"> </w:t>
      </w:r>
      <w:r>
        <w:t xml:space="preserve">“</w:t>
      </w:r>
      <w:r>
        <w:t xml:space="preserve">suspending classes without stopping learning</w:t>
      </w:r>
      <w:r>
        <w:t xml:space="preserve">”</w:t>
      </w:r>
      <w:r>
        <w:t xml:space="preserve"> </w:t>
      </w:r>
      <w:r>
        <w:t xml:space="preserve">(Zhang et al., 2020). Xu et al. (2022) show how character teaching was adapted on the sending side. Yu and Xu (2022) give a learner-side questionnaire from 153 South Asian students taking Chinese courses online. In that sample, overall online learning status was reported as positive, and autonomous learning was linked to how students evaluated the effect. Jin et al. (2023) report faculty perceptions of pandemic online teaching. Zhang and Liu (2023) examine online collaborative writing among Chinese-language learners in designed conditions. Later reviews still say more about tools than about household access, and they still flag digital equity as under-examined (Li &amp; Li, 2024; Xu, 2024; Zhang &amp; Osborne, 2026). Designed online Chinese-culture courses show a planned alternative to emergency copying (Guenier et al., 2026). Qi (2025) shows that an online Chinese class can itself become an anxiety-provoking setting. Those studies do not describe the present respondents. Much of that writing still assumes a relatively stable connection. The present questionnaire cannot test whether that assumption holds for current hybrid teaching. It can show what 38 respondents reported.</w:t>
      </w:r>
    </w:p>
    <w:bookmarkEnd w:id="23"/>
    <w:bookmarkStart w:id="24" w:name="X8fd0326383b50249221392c76a6b8ab8b037526"/>
    <w:p>
      <w:pPr>
        <w:pStyle w:val="Heading3"/>
      </w:pPr>
      <w:r>
        <w:t xml:space="preserve">2.2 Digital inequality and the home learning ecology</w:t>
      </w:r>
    </w:p>
    <w:p>
      <w:pPr>
        <w:pStyle w:val="FirstParagraph"/>
      </w:pPr>
      <w:r>
        <w:t xml:space="preserve">Later models of the digital divide distinguish material access from skills, usage, and outcomes (Helsper, 2021; van Dijk, 2020; Warschauer, 2003). Owning a device is not the same as being able to take part (Ali, 2020; Beaunoyer et al., 2020; Guo &amp; Wan, 2022; Vishnu et al., 2024). An ecological view of language education takes the setting of the class, not only the student and the application, as the unit of analysis (Guerrettaz et al., 2021; van Lier, 2004). Domestic space, paid or care work, power interruptions, and applications marked unusable are read here as part of the immediate setting in which the 38 respondents said they were studying.</w:t>
      </w:r>
    </w:p>
    <w:bookmarkEnd w:id="24"/>
    <w:bookmarkEnd w:id="25"/>
    <w:bookmarkStart w:id="31" w:name="methods"/>
    <w:p>
      <w:pPr>
        <w:pStyle w:val="Heading2"/>
      </w:pPr>
      <w:r>
        <w:t xml:space="preserve">3. Methods</w:t>
      </w:r>
    </w:p>
    <w:p>
      <w:pPr>
        <w:pStyle w:val="FirstParagraph"/>
      </w:pPr>
      <w:r>
        <w:t xml:space="preserve">The study is an exploratory, cross-sectional questionnaire. It does not test a pre-registered confirmatory model. What follows describes the instrument, the self-selected group who completed it, and the limits of what the questionnaire can support.</w:t>
      </w:r>
    </w:p>
    <w:bookmarkStart w:id="26" w:name="design-and-context"/>
    <w:p>
      <w:pPr>
        <w:pStyle w:val="Heading3"/>
      </w:pPr>
      <w:r>
        <w:t xml:space="preserve">3.1 Design and context</w:t>
      </w:r>
    </w:p>
    <w:p>
      <w:pPr>
        <w:pStyle w:val="FirstParagraph"/>
      </w:pPr>
      <w:r>
        <w:t xml:space="preserve">The instrument title on the Wenjuan export is Influencing factors in international students’ online Chinese learning during COVID-19. The items are those on that retained form. No separate validation study or recorded pilot of the instrument is available. This article is a secondary analysis of the completed responses. Complete cases were submitted between 5 and 8 February 2022 (N = 38), during emergency remote teaching. That collection window is a methodological fact; the article does not treat the sample as a picture of current hybrid practice. The form did not record how the link was circulated, so the recruitment channel cannot be named. Respondents were adults who completed a questionnaire written in Chinese about online Chinese learning. Completing that questionnaire is not treated as proof of enrollment in a Chinese university. The instrument did not ask host university, city of residence that week, degree versus non-degree status, or scholarship type. Two items asked whether required courses and electives were being taken online: 27 respondents (71.1%) reported required courses online, and 23 (60.5%) reported electives online. Those answers do not identify a named program. The study therefore concerns a self-selected group of respondents reporting participation in online Chinese-language courses, not a verified enrollment record.</w:t>
      </w:r>
    </w:p>
    <w:bookmarkEnd w:id="26"/>
    <w:bookmarkStart w:id="27" w:name="participants"/>
    <w:p>
      <w:pPr>
        <w:pStyle w:val="Heading3"/>
      </w:pPr>
      <w:r>
        <w:t xml:space="preserve">3.2 Participants</w:t>
      </w:r>
    </w:p>
    <w:p>
      <w:pPr>
        <w:pStyle w:val="FirstParagraph"/>
      </w:pPr>
      <w:r>
        <w:t xml:space="preserve">Of the 38 respondents, 27 were men (71.1%) and 11 were women (28.9%). Thirty-seven selected Pakistani nationality and one selected another nationality. That nationality item is the only Pakistan connection in the dataset. The group is not described as verified Chinese-university enrollment, as Pakistan-resident learners, as CSC students, or as a national sample. Self-rated Chinese level was mostly advanced (22, 57.9%) or intermediate (15, 39.5%), with one beginner; the label is the student’s own, not an HSK band. Years of learning Chinese clustered at three to four years (26, 68.4%). Wenjuan submission metadata classified the operating system as iPhone (24, 63.2%) or Android (14). That variable is the device used to submit the form, not an item about all devices used for class.</w:t>
      </w:r>
    </w:p>
    <w:p>
      <w:pPr>
        <w:pStyle w:val="BodyText"/>
      </w:pPr>
      <w:r>
        <w:t xml:space="preserve">Wenjuan automatically recorded an IP-province field. A dummy was coded when that field was a mainland China province name (9 of 38). IP labels are technical metadata. They can be affected by virtual private networks and proxies, and they are not a reliable measure of physical location. They are not used as a participant-location variable and are not the basis of a sensitivity analysis. The dummy, submission dates, and device identifiers are not included in the public dataset.</w:t>
      </w:r>
    </w:p>
    <w:bookmarkEnd w:id="27"/>
    <w:bookmarkStart w:id="28" w:name="instrument-and-coding"/>
    <w:p>
      <w:pPr>
        <w:pStyle w:val="Heading3"/>
      </w:pPr>
      <w:r>
        <w:t xml:space="preserve">3.3 Instrument and coding</w:t>
      </w:r>
    </w:p>
    <w:p>
      <w:pPr>
        <w:pStyle w:val="FirstParagraph"/>
      </w:pPr>
      <w:r>
        <w:t xml:space="preserve">The questionnaire comprised about 30 items: demographics, single-choice ordinals, and multiple-response lists. The items were written in Chinese. Some wording was non-native. Reporting uses English glosses. Self-rated Chinese level was intermediate or advanced for 37 of 38 respondents. The instrument did not include a comprehension check, so completion of a questionnaire written in Chinese is treated only as evidence that respondents were willing to answer in Chinese. Item wording for the appraisal index is given in Appendix A.</w:t>
      </w:r>
    </w:p>
    <w:p>
      <w:pPr>
        <w:pStyle w:val="BodyText"/>
      </w:pPr>
      <w:r>
        <w:t xml:space="preserve">A three-item</w:t>
      </w:r>
      <w:r>
        <w:t xml:space="preserve"> </w:t>
      </w:r>
      <w:r>
        <w:rPr>
          <w:iCs/>
          <w:i/>
        </w:rPr>
        <w:t xml:space="preserve">perceived online-learning appraisal index</w:t>
      </w:r>
      <w:r>
        <w:t xml:space="preserve"> </w:t>
      </w:r>
      <w:r>
        <w:t xml:space="preserve">was formed from learned much (Q8), improves Chinese (Q9), and sparks interest (Q10). The items ask related but not identical questions and are treated as a descriptive index, not as a validated unidimensional scale. Internal consistency was acceptable in this sample (Cronbach’s α = .84); Spearman inter-item correlations ranged from .55 to .75 (Appendix B). Exploratory factor analysis was not used (N = 38). Individual items are also reported. One double-tick on</w:t>
      </w:r>
      <w:r>
        <w:t xml:space="preserve"> </w:t>
      </w:r>
      <w:r>
        <w:t xml:space="preserve">“</w:t>
      </w:r>
      <w:r>
        <w:t xml:space="preserve">like online classes</w:t>
      </w:r>
      <w:r>
        <w:t xml:space="preserve">”</w:t>
      </w:r>
      <w:r>
        <w:t xml:space="preserve"> </w:t>
      </w:r>
      <w:r>
        <w:t xml:space="preserve">was excluded for that item only (n = 37 valid).</w:t>
      </w:r>
    </w:p>
    <w:p>
      <w:pPr>
        <w:pStyle w:val="BodyText"/>
      </w:pPr>
      <w:r>
        <w:t xml:space="preserve">Coding follows the Wenjuan export. Higher values on speed, learned, improve, interest, and teacher interaction indicate a more negative report (worse speed; less learning, improvement, or interest; thinner interaction). Stress (Q24) is a four-category questionnaire item coded 1 = very high to 4 = none.</w:t>
      </w:r>
      <w:r>
        <w:t xml:space="preserve"> </w:t>
      </w:r>
      <w:r>
        <w:rPr>
          <w:iCs/>
          <w:i/>
        </w:rPr>
        <w:t xml:space="preserve">Very high stress</w:t>
      </w:r>
      <w:r>
        <w:t xml:space="preserve"> </w:t>
      </w:r>
      <w:r>
        <w:t xml:space="preserve">is that first category on the form (glossed as very high), not an analyst-created threshold or a cut on a multi-item scale. The focal stress analysis uses a dummy for this category and does not reverse the ordinal. Coding directions are in Appendix A.</w:t>
      </w:r>
    </w:p>
    <w:p>
      <w:pPr>
        <w:pStyle w:val="BodyText"/>
      </w:pPr>
      <w:r>
        <w:t xml:space="preserve">The export labeled one multiple-response problem as</w:t>
      </w:r>
      <w:r>
        <w:t xml:space="preserve"> </w:t>
      </w:r>
      <w:r>
        <w:t xml:space="preserve">“</w:t>
      </w:r>
      <w:r>
        <w:t xml:space="preserve">no electricity.</w:t>
      </w:r>
      <w:r>
        <w:t xml:space="preserve">”</w:t>
      </w:r>
      <w:r>
        <w:t xml:space="preserve"> </w:t>
      </w:r>
      <w:r>
        <w:t xml:space="preserve">In the results the item is reported as</w:t>
      </w:r>
      <w:r>
        <w:t xml:space="preserve"> </w:t>
      </w:r>
      <w:r>
        <w:rPr>
          <w:iCs/>
          <w:i/>
        </w:rPr>
        <w:t xml:space="preserve">power interruptions</w:t>
      </w:r>
      <w:r>
        <w:t xml:space="preserve"> </w:t>
      </w:r>
      <w:r>
        <w:t xml:space="preserve">(export label: no electricity). Chinese MOOC is reported as printed on the form; the option did not name a single provider.</w:t>
      </w:r>
    </w:p>
    <w:bookmarkEnd w:id="28"/>
    <w:bookmarkStart w:id="29" w:name="analysis"/>
    <w:p>
      <w:pPr>
        <w:pStyle w:val="Heading3"/>
      </w:pPr>
      <w:r>
        <w:t xml:space="preserve">3.4 Analysis</w:t>
      </w:r>
    </w:p>
    <w:p>
      <w:pPr>
        <w:pStyle w:val="FirstParagraph"/>
      </w:pPr>
      <w:r>
        <w:t xml:space="preserve">Household and platform reports are given as frequencies (Tables 1 to 3). Two associations are treated as focal: home affects study very much with very high stress (two-sided Fisher’s exact test), and internet speed with the appraisal index (Spearman’s ρ, with a percentile bootstrap 95% confidence interval from 5,000 resamples). Replacement judgments are reported as frequencies. Odds ratios and Wald confidence intervals are not reported: at N = 38 they are unstable. Other associations, including gender, are secondary and are placed in Appendix B. Frequencies are n/38 unless noted. Multiple-response items are the percentage who selected the option.</w:t>
      </w:r>
      <w:r>
        <w:t xml:space="preserve"> </w:t>
      </w:r>
      <w:r>
        <w:rPr>
          <w:iCs/>
          <w:i/>
        </w:rPr>
        <w:t xml:space="preserve">p</w:t>
      </w:r>
      <w:r>
        <w:t xml:space="preserve"> </w:t>
      </w:r>
      <w:r>
        <w:t xml:space="preserve">values are not adjusted for multiplicity and are not interpreted as confirmatory.</w:t>
      </w:r>
    </w:p>
    <w:p>
      <w:pPr>
        <w:pStyle w:val="BodyText"/>
      </w:pPr>
      <w:r>
        <w:t xml:space="preserve">A Pakistani-nationality check (n = 37) is reported only to show that dropping the one non-Pakistani case does not reverse the two focal associations. It is not a location analysis.</w:t>
      </w:r>
    </w:p>
    <w:bookmarkEnd w:id="29"/>
    <w:bookmarkStart w:id="30" w:name="ethics-and-data-protection"/>
    <w:p>
      <w:pPr>
        <w:pStyle w:val="Heading3"/>
      </w:pPr>
      <w:r>
        <w:t xml:space="preserve">3.5 Ethics and data protection</w:t>
      </w:r>
    </w:p>
    <w:p>
      <w:pPr>
        <w:pStyle w:val="FirstParagraph"/>
      </w:pPr>
      <w:r>
        <w:t xml:space="preserve">Adult respondents completed an online form presented as research on online Chinese learning. The form stated that answers would be used for research, and completion and submission were treated as consent.</w:t>
      </w:r>
    </w:p>
    <w:p>
      <w:pPr>
        <w:pStyle w:val="BodyText"/>
      </w:pPr>
      <w:r>
        <w:t xml:space="preserve">No institutional ethics approval number is available for the original 2022 data collection. The first author was then a master’s student, and numbered approval was not obtained. This article reports an anonymized secondary analysis of those completed responses. No new data were collected. Names, IP addresses, exact timestamps, and device identifiers were removed before the public dataset was prepared.</w:t>
      </w:r>
    </w:p>
    <w:bookmarkEnd w:id="30"/>
    <w:bookmarkEnd w:id="31"/>
    <w:bookmarkStart w:id="36" w:name="results"/>
    <w:p>
      <w:pPr>
        <w:pStyle w:val="Heading2"/>
      </w:pPr>
      <w:r>
        <w:t xml:space="preserve">4. Results</w:t>
      </w:r>
    </w:p>
    <w:bookmarkStart w:id="32" w:name="respondents-and-household-conditions"/>
    <w:p>
      <w:pPr>
        <w:pStyle w:val="Heading3"/>
      </w:pPr>
      <w:r>
        <w:t xml:space="preserve">4.1 Respondents and household conditions</w:t>
      </w:r>
    </w:p>
    <w:p>
      <w:pPr>
        <w:pStyle w:val="FirstParagraph"/>
      </w:pPr>
      <w:r>
        <w:t xml:space="preserve">Table 1 locates the sample. Most respondents said all of their Chinese classes were online, and more than half reported working alongside study.</w:t>
      </w:r>
    </w:p>
    <w:p>
      <w:pPr>
        <w:pStyle w:val="BodyText"/>
      </w:pPr>
      <w:r>
        <w:rPr>
          <w:bCs/>
          <w:b/>
        </w:rPr>
        <w:t xml:space="preserve">Table 1</w:t>
      </w:r>
    </w:p>
    <w:p>
      <w:pPr>
        <w:pStyle w:val="BodyText"/>
      </w:pPr>
      <w:r>
        <w:rPr>
          <w:iCs/>
          <w:i/>
        </w:rPr>
        <w:t xml:space="preserve">Respondents (N = 38)</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Variable</w:t>
            </w:r>
          </w:p>
        </w:tc>
        <w:tc>
          <w:tcPr/>
          <w:p>
            <w:pPr>
              <w:pStyle w:val="Compact"/>
              <w:jc w:val="right"/>
            </w:pPr>
            <w:r>
              <w:t xml:space="preserve">n</w:t>
            </w:r>
          </w:p>
        </w:tc>
        <w:tc>
          <w:tcPr/>
          <w:p>
            <w:pPr>
              <w:pStyle w:val="Compact"/>
              <w:jc w:val="right"/>
            </w:pPr>
            <w:r>
              <w:t xml:space="preserve">%</w:t>
            </w:r>
          </w:p>
        </w:tc>
      </w:tr>
      <w:tr>
        <w:tc>
          <w:tcPr/>
          <w:p>
            <w:pPr>
              <w:pStyle w:val="Compact"/>
              <w:jc w:val="left"/>
            </w:pPr>
            <w:r>
              <w:t xml:space="preserve">Male</w:t>
            </w:r>
          </w:p>
        </w:tc>
        <w:tc>
          <w:tcPr/>
          <w:p>
            <w:pPr>
              <w:pStyle w:val="Compact"/>
              <w:jc w:val="right"/>
            </w:pPr>
            <w:r>
              <w:t xml:space="preserve">27</w:t>
            </w:r>
          </w:p>
        </w:tc>
        <w:tc>
          <w:tcPr/>
          <w:p>
            <w:pPr>
              <w:pStyle w:val="Compact"/>
              <w:jc w:val="right"/>
            </w:pPr>
            <w:r>
              <w:t xml:space="preserve">71.1</w:t>
            </w:r>
          </w:p>
        </w:tc>
      </w:tr>
      <w:tr>
        <w:tc>
          <w:tcPr/>
          <w:p>
            <w:pPr>
              <w:pStyle w:val="Compact"/>
              <w:jc w:val="left"/>
            </w:pPr>
            <w:r>
              <w:t xml:space="preserve">Female</w:t>
            </w:r>
          </w:p>
        </w:tc>
        <w:tc>
          <w:tcPr/>
          <w:p>
            <w:pPr>
              <w:pStyle w:val="Compact"/>
              <w:jc w:val="right"/>
            </w:pPr>
            <w:r>
              <w:t xml:space="preserve">11</w:t>
            </w:r>
          </w:p>
        </w:tc>
        <w:tc>
          <w:tcPr/>
          <w:p>
            <w:pPr>
              <w:pStyle w:val="Compact"/>
              <w:jc w:val="right"/>
            </w:pPr>
            <w:r>
              <w:t xml:space="preserve">28.9</w:t>
            </w:r>
          </w:p>
        </w:tc>
      </w:tr>
      <w:tr>
        <w:tc>
          <w:tcPr/>
          <w:p>
            <w:pPr>
              <w:pStyle w:val="Compact"/>
              <w:jc w:val="left"/>
            </w:pPr>
            <w:r>
              <w:t xml:space="preserve">Pakistani nationality</w:t>
            </w:r>
          </w:p>
        </w:tc>
        <w:tc>
          <w:tcPr/>
          <w:p>
            <w:pPr>
              <w:pStyle w:val="Compact"/>
              <w:jc w:val="right"/>
            </w:pPr>
            <w:r>
              <w:t xml:space="preserve">37</w:t>
            </w:r>
          </w:p>
        </w:tc>
        <w:tc>
          <w:tcPr/>
          <w:p>
            <w:pPr>
              <w:pStyle w:val="Compact"/>
              <w:jc w:val="right"/>
            </w:pPr>
            <w:r>
              <w:t xml:space="preserve">97.4</w:t>
            </w:r>
          </w:p>
        </w:tc>
      </w:tr>
      <w:tr>
        <w:tc>
          <w:tcPr/>
          <w:p>
            <w:pPr>
              <w:pStyle w:val="Compact"/>
              <w:jc w:val="left"/>
            </w:pPr>
            <w:r>
              <w:t xml:space="preserve">Other</w:t>
            </w:r>
          </w:p>
        </w:tc>
        <w:tc>
          <w:tcPr/>
          <w:p>
            <w:pPr>
              <w:pStyle w:val="Compact"/>
              <w:jc w:val="right"/>
            </w:pPr>
            <w:r>
              <w:t xml:space="preserve">1</w:t>
            </w:r>
          </w:p>
        </w:tc>
        <w:tc>
          <w:tcPr/>
          <w:p>
            <w:pPr>
              <w:pStyle w:val="Compact"/>
              <w:jc w:val="right"/>
            </w:pPr>
            <w:r>
              <w:t xml:space="preserve">2.6</w:t>
            </w:r>
          </w:p>
        </w:tc>
      </w:tr>
      <w:tr>
        <w:tc>
          <w:tcPr/>
          <w:p>
            <w:pPr>
              <w:pStyle w:val="Compact"/>
              <w:jc w:val="left"/>
            </w:pPr>
            <w:r>
              <w:t xml:space="preserve">Beginner / intermediate / advanced Chinese (self-rating)</w:t>
            </w:r>
          </w:p>
        </w:tc>
        <w:tc>
          <w:tcPr/>
          <w:p>
            <w:pPr>
              <w:pStyle w:val="Compact"/>
              <w:jc w:val="right"/>
            </w:pPr>
            <w:r>
              <w:t xml:space="preserve">1 / 15 / 22</w:t>
            </w:r>
          </w:p>
        </w:tc>
        <w:tc>
          <w:tcPr/>
          <w:p>
            <w:pPr>
              <w:pStyle w:val="Compact"/>
              <w:jc w:val="right"/>
            </w:pPr>
            <w:r>
              <w:t xml:space="preserve">2.6 / 39.5 / 57.9</w:t>
            </w:r>
          </w:p>
        </w:tc>
      </w:tr>
      <w:tr>
        <w:tc>
          <w:tcPr/>
          <w:p>
            <w:pPr>
              <w:pStyle w:val="Compact"/>
              <w:jc w:val="left"/>
            </w:pPr>
            <w:r>
              <w:t xml:space="preserve">Years of Chinese: 1 to 2 / 3 to 4 / 5 to 6 / 6+</w:t>
            </w:r>
          </w:p>
        </w:tc>
        <w:tc>
          <w:tcPr/>
          <w:p>
            <w:pPr>
              <w:pStyle w:val="Compact"/>
              <w:jc w:val="right"/>
            </w:pPr>
            <w:r>
              <w:t xml:space="preserve">3 / 26 / 8 / 1</w:t>
            </w:r>
          </w:p>
        </w:tc>
        <w:tc>
          <w:tcPr/>
          <w:p>
            <w:pPr>
              <w:pStyle w:val="Compact"/>
              <w:jc w:val="right"/>
            </w:pPr>
            <w:r>
              <w:t xml:space="preserve">7.9 / 68.4 / 21.1 / 2.6</w:t>
            </w:r>
          </w:p>
        </w:tc>
      </w:tr>
      <w:tr>
        <w:tc>
          <w:tcPr/>
          <w:p>
            <w:pPr>
              <w:pStyle w:val="Compact"/>
              <w:jc w:val="left"/>
            </w:pPr>
            <w:r>
              <w:t xml:space="preserve">All Chinese classes online</w:t>
            </w:r>
          </w:p>
        </w:tc>
        <w:tc>
          <w:tcPr/>
          <w:p>
            <w:pPr>
              <w:pStyle w:val="Compact"/>
              <w:jc w:val="right"/>
            </w:pPr>
            <w:r>
              <w:t xml:space="preserve">30</w:t>
            </w:r>
          </w:p>
        </w:tc>
        <w:tc>
          <w:tcPr/>
          <w:p>
            <w:pPr>
              <w:pStyle w:val="Compact"/>
              <w:jc w:val="right"/>
            </w:pPr>
            <w:r>
              <w:t xml:space="preserve">78.9</w:t>
            </w:r>
          </w:p>
        </w:tc>
      </w:tr>
      <w:tr>
        <w:tc>
          <w:tcPr/>
          <w:p>
            <w:pPr>
              <w:pStyle w:val="Compact"/>
              <w:jc w:val="left"/>
            </w:pPr>
            <w:r>
              <w:t xml:space="preserve">Working while studying</w:t>
            </w:r>
          </w:p>
        </w:tc>
        <w:tc>
          <w:tcPr/>
          <w:p>
            <w:pPr>
              <w:pStyle w:val="Compact"/>
              <w:jc w:val="right"/>
            </w:pPr>
            <w:r>
              <w:t xml:space="preserve">22</w:t>
            </w:r>
          </w:p>
        </w:tc>
        <w:tc>
          <w:tcPr/>
          <w:p>
            <w:pPr>
              <w:pStyle w:val="Compact"/>
              <w:jc w:val="right"/>
            </w:pPr>
            <w:r>
              <w:t xml:space="preserve">57.9</w:t>
            </w:r>
          </w:p>
        </w:tc>
      </w:tr>
      <w:tr>
        <w:tc>
          <w:tcPr/>
          <w:p>
            <w:pPr>
              <w:pStyle w:val="Compact"/>
              <w:jc w:val="left"/>
            </w:pPr>
            <w:r>
              <w:t xml:space="preserve">Submission device: iPhone / Android</w:t>
            </w:r>
          </w:p>
        </w:tc>
        <w:tc>
          <w:tcPr/>
          <w:p>
            <w:pPr>
              <w:pStyle w:val="Compact"/>
              <w:jc w:val="right"/>
            </w:pPr>
            <w:r>
              <w:t xml:space="preserve">24 / 14</w:t>
            </w:r>
          </w:p>
        </w:tc>
        <w:tc>
          <w:tcPr/>
          <w:p>
            <w:pPr>
              <w:pStyle w:val="Compact"/>
              <w:jc w:val="right"/>
            </w:pPr>
            <w:r>
              <w:t xml:space="preserve">63.2 / 36.8</w:t>
            </w:r>
          </w:p>
        </w:tc>
      </w:tr>
      <w:tr>
        <w:tc>
          <w:tcPr/>
          <w:p>
            <w:pPr>
              <w:pStyle w:val="Compact"/>
              <w:jc w:val="left"/>
            </w:pPr>
            <w:r>
              <w:t xml:space="preserve">Total</w:t>
            </w:r>
          </w:p>
        </w:tc>
        <w:tc>
          <w:tcPr/>
          <w:p>
            <w:pPr>
              <w:pStyle w:val="Compact"/>
              <w:jc w:val="right"/>
            </w:pPr>
            <w:r>
              <w:t xml:space="preserve">38</w:t>
            </w:r>
          </w:p>
        </w:tc>
        <w:tc>
          <w:tcPr/>
          <w:p>
            <w:pPr>
              <w:pStyle w:val="Compact"/>
              <w:jc w:val="right"/>
            </w:pPr>
            <w:r>
              <w:t xml:space="preserve">100</w:t>
            </w:r>
          </w:p>
        </w:tc>
      </w:tr>
    </w:tbl>
    <w:p>
      <w:pPr>
        <w:pStyle w:val="BodyText"/>
      </w:pPr>
      <w:r>
        <w:rPr>
          <w:iCs/>
          <w:i/>
        </w:rPr>
        <w:t xml:space="preserve">Note.</w:t>
      </w:r>
      <w:r>
        <w:t xml:space="preserve"> </w:t>
      </w:r>
      <w:r>
        <w:t xml:space="preserve">Convenience sample, Wenjuan, 5 to 8 February 2022. Device is the operating system recorded at submission, reported only as an aggregate.</w:t>
      </w:r>
    </w:p>
    <w:p>
      <w:pPr>
        <w:pStyle w:val="BodyText"/>
      </w:pPr>
      <w:r>
        <w:t xml:space="preserve">Table 2 reports the household and connectivity conditions. The key figures are unstable networks (76.3%), power interruptions (42.1%), and very high stress (36.8%). Four respondents said their country did not have internet, yet all 38 submitted an online form. The item wording does not allow a firm reinterpretation, so the response is reported as given. Only 11 of 38 described the home as quiet.</w:t>
      </w:r>
    </w:p>
    <w:p>
      <w:pPr>
        <w:pStyle w:val="BodyText"/>
      </w:pPr>
      <w:r>
        <w:rPr>
          <w:bCs/>
          <w:b/>
        </w:rPr>
        <w:t xml:space="preserve">Table 2</w:t>
      </w:r>
    </w:p>
    <w:p>
      <w:pPr>
        <w:pStyle w:val="BodyText"/>
      </w:pPr>
      <w:r>
        <w:rPr>
          <w:iCs/>
          <w:i/>
        </w:rPr>
        <w:t xml:space="preserve">Reported conditions and selected outcomes (N = 38)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right"/>
            </w:pPr>
            <w:r>
              <w:t xml:space="preserve">n</w:t>
            </w:r>
          </w:p>
        </w:tc>
        <w:tc>
          <w:tcPr/>
          <w:p>
            <w:pPr>
              <w:pStyle w:val="Compact"/>
              <w:jc w:val="right"/>
            </w:pPr>
            <w:r>
              <w:t xml:space="preserve">%</w:t>
            </w:r>
          </w:p>
        </w:tc>
      </w:tr>
      <w:tr>
        <w:tc>
          <w:tcPr/>
          <w:p>
            <w:pPr>
              <w:pStyle w:val="Compact"/>
              <w:jc w:val="left"/>
            </w:pPr>
            <w:r>
              <w:t xml:space="preserve">Unstable network</w:t>
            </w:r>
          </w:p>
        </w:tc>
        <w:tc>
          <w:tcPr/>
          <w:p>
            <w:pPr>
              <w:pStyle w:val="Compact"/>
              <w:jc w:val="right"/>
            </w:pPr>
            <w:r>
              <w:t xml:space="preserve">29</w:t>
            </w:r>
          </w:p>
        </w:tc>
        <w:tc>
          <w:tcPr/>
          <w:p>
            <w:pPr>
              <w:pStyle w:val="Compact"/>
              <w:jc w:val="right"/>
            </w:pPr>
            <w:r>
              <w:t xml:space="preserve">76.3</w:t>
            </w:r>
          </w:p>
        </w:tc>
      </w:tr>
      <w:tr>
        <w:tc>
          <w:tcPr/>
          <w:p>
            <w:pPr>
              <w:pStyle w:val="Compact"/>
              <w:jc w:val="left"/>
            </w:pPr>
            <w:r>
              <w:t xml:space="preserve">Power interruptions (export label: no electricity)</w:t>
            </w:r>
          </w:p>
        </w:tc>
        <w:tc>
          <w:tcPr/>
          <w:p>
            <w:pPr>
              <w:pStyle w:val="Compact"/>
              <w:jc w:val="right"/>
            </w:pPr>
            <w:r>
              <w:t xml:space="preserve">16</w:t>
            </w:r>
          </w:p>
        </w:tc>
        <w:tc>
          <w:tcPr/>
          <w:p>
            <w:pPr>
              <w:pStyle w:val="Compact"/>
              <w:jc w:val="right"/>
            </w:pPr>
            <w:r>
              <w:t xml:space="preserve">42.1</w:t>
            </w:r>
          </w:p>
        </w:tc>
      </w:tr>
      <w:tr>
        <w:tc>
          <w:tcPr/>
          <w:p>
            <w:pPr>
              <w:pStyle w:val="Compact"/>
              <w:jc w:val="left"/>
            </w:pPr>
            <w:r>
              <w:t xml:space="preserve">No signal</w:t>
            </w:r>
          </w:p>
        </w:tc>
        <w:tc>
          <w:tcPr/>
          <w:p>
            <w:pPr>
              <w:pStyle w:val="Compact"/>
              <w:jc w:val="right"/>
            </w:pPr>
            <w:r>
              <w:t xml:space="preserve">12</w:t>
            </w:r>
          </w:p>
        </w:tc>
        <w:tc>
          <w:tcPr/>
          <w:p>
            <w:pPr>
              <w:pStyle w:val="Compact"/>
              <w:jc w:val="right"/>
            </w:pPr>
            <w:r>
              <w:t xml:space="preserve">31.6</w:t>
            </w:r>
          </w:p>
        </w:tc>
      </w:tr>
      <w:tr>
        <w:tc>
          <w:tcPr/>
          <w:p>
            <w:pPr>
              <w:pStyle w:val="Compact"/>
              <w:jc w:val="left"/>
            </w:pPr>
            <w:r>
              <w:t xml:space="preserve">Internet speed poor or very poor</w:t>
            </w:r>
          </w:p>
        </w:tc>
        <w:tc>
          <w:tcPr/>
          <w:p>
            <w:pPr>
              <w:pStyle w:val="Compact"/>
              <w:jc w:val="right"/>
            </w:pPr>
            <w:r>
              <w:t xml:space="preserve">10</w:t>
            </w:r>
          </w:p>
        </w:tc>
        <w:tc>
          <w:tcPr/>
          <w:p>
            <w:pPr>
              <w:pStyle w:val="Compact"/>
              <w:jc w:val="right"/>
            </w:pPr>
            <w:r>
              <w:t xml:space="preserve">26.3</w:t>
            </w:r>
          </w:p>
        </w:tc>
      </w:tr>
      <w:tr>
        <w:tc>
          <w:tcPr/>
          <w:p>
            <w:pPr>
              <w:pStyle w:val="Compact"/>
              <w:jc w:val="left"/>
            </w:pPr>
            <w:r>
              <w:t xml:space="preserve">Home not quiet</w:t>
            </w:r>
          </w:p>
        </w:tc>
        <w:tc>
          <w:tcPr/>
          <w:p>
            <w:pPr>
              <w:pStyle w:val="Compact"/>
              <w:jc w:val="right"/>
            </w:pPr>
            <w:r>
              <w:t xml:space="preserve">27</w:t>
            </w:r>
          </w:p>
        </w:tc>
        <w:tc>
          <w:tcPr/>
          <w:p>
            <w:pPr>
              <w:pStyle w:val="Compact"/>
              <w:jc w:val="right"/>
            </w:pPr>
            <w:r>
              <w:t xml:space="preserve">71.1</w:t>
            </w:r>
          </w:p>
        </w:tc>
      </w:tr>
      <w:tr>
        <w:tc>
          <w:tcPr/>
          <w:p>
            <w:pPr>
              <w:pStyle w:val="Compact"/>
              <w:jc w:val="left"/>
            </w:pPr>
            <w:r>
              <w:t xml:space="preserve">Home affects study very much</w:t>
            </w:r>
          </w:p>
        </w:tc>
        <w:tc>
          <w:tcPr/>
          <w:p>
            <w:pPr>
              <w:pStyle w:val="Compact"/>
              <w:jc w:val="right"/>
            </w:pPr>
            <w:r>
              <w:t xml:space="preserve">14</w:t>
            </w:r>
          </w:p>
        </w:tc>
        <w:tc>
          <w:tcPr/>
          <w:p>
            <w:pPr>
              <w:pStyle w:val="Compact"/>
              <w:jc w:val="right"/>
            </w:pPr>
            <w:r>
              <w:t xml:space="preserve">36.8</w:t>
            </w:r>
          </w:p>
        </w:tc>
      </w:tr>
      <w:tr>
        <w:tc>
          <w:tcPr/>
          <w:p>
            <w:pPr>
              <w:pStyle w:val="Compact"/>
              <w:jc w:val="left"/>
            </w:pPr>
            <w:r>
              <w:t xml:space="preserve">Very high psychological stress</w:t>
            </w:r>
          </w:p>
        </w:tc>
        <w:tc>
          <w:tcPr/>
          <w:p>
            <w:pPr>
              <w:pStyle w:val="Compact"/>
              <w:jc w:val="right"/>
            </w:pPr>
            <w:r>
              <w:t xml:space="preserve">14</w:t>
            </w:r>
          </w:p>
        </w:tc>
        <w:tc>
          <w:tcPr/>
          <w:p>
            <w:pPr>
              <w:pStyle w:val="Compact"/>
              <w:jc w:val="right"/>
            </w:pPr>
            <w:r>
              <w:t xml:space="preserve">36.8</w:t>
            </w:r>
          </w:p>
        </w:tc>
      </w:tr>
      <w:tr>
        <w:tc>
          <w:tcPr/>
          <w:p>
            <w:pPr>
              <w:pStyle w:val="Compact"/>
              <w:jc w:val="left"/>
            </w:pPr>
            <w:r>
              <w:t xml:space="preserve">Online cannot replace face-to-face</w:t>
            </w:r>
          </w:p>
        </w:tc>
        <w:tc>
          <w:tcPr/>
          <w:p>
            <w:pPr>
              <w:pStyle w:val="Compact"/>
              <w:jc w:val="right"/>
            </w:pPr>
            <w:r>
              <w:t xml:space="preserve">19</w:t>
            </w:r>
          </w:p>
        </w:tc>
        <w:tc>
          <w:tcPr/>
          <w:p>
            <w:pPr>
              <w:pStyle w:val="Compact"/>
              <w:jc w:val="right"/>
            </w:pPr>
            <w:r>
              <w:t xml:space="preserve">50.0</w:t>
            </w:r>
          </w:p>
        </w:tc>
      </w:tr>
      <w:tr>
        <w:tc>
          <w:tcPr/>
          <w:p>
            <w:pPr>
              <w:pStyle w:val="Compact"/>
              <w:jc w:val="left"/>
            </w:pPr>
            <w:r>
              <w:t xml:space="preserve">Learned little or nothing online</w:t>
            </w:r>
          </w:p>
        </w:tc>
        <w:tc>
          <w:tcPr/>
          <w:p>
            <w:pPr>
              <w:pStyle w:val="Compact"/>
              <w:jc w:val="right"/>
            </w:pPr>
            <w:r>
              <w:t xml:space="preserve">11</w:t>
            </w:r>
          </w:p>
        </w:tc>
        <w:tc>
          <w:tcPr/>
          <w:p>
            <w:pPr>
              <w:pStyle w:val="Compact"/>
              <w:jc w:val="right"/>
            </w:pPr>
            <w:r>
              <w:t xml:space="preserve">28.9</w:t>
            </w:r>
          </w:p>
        </w:tc>
      </w:tr>
    </w:tbl>
    <w:bookmarkEnd w:id="32"/>
    <w:bookmarkStart w:id="33" w:name="platform-access"/>
    <w:p>
      <w:pPr>
        <w:pStyle w:val="Heading3"/>
      </w:pPr>
      <w:r>
        <w:t xml:space="preserve">4.2 Platform access</w:t>
      </w:r>
    </w:p>
    <w:p>
      <w:pPr>
        <w:pStyle w:val="FirstParagraph"/>
      </w:pPr>
      <w:r>
        <w:t xml:space="preserve">Table 3 shows uneven access to institutionally familiar and consumer-facing platforms. The questionnaire cannot isolate country restrictions, routing, account rules, skills, or virtual private networks. The pattern used for later discussion is that QQ and Chaoxing were frequently marked unusable, while Zoom and WhatsApp were more often marked available. WhatsApp appears only as available; the retained form did not code whether it was used for class. Tencent Meeting was the most used class tool but was marked available by fewer respondents, a discrepancy left as an item-level inconsistency.</w:t>
      </w:r>
    </w:p>
    <w:p>
      <w:pPr>
        <w:pStyle w:val="BodyText"/>
      </w:pPr>
      <w:r>
        <w:rPr>
          <w:bCs/>
          <w:b/>
        </w:rPr>
        <w:t xml:space="preserve">Table 3</w:t>
      </w:r>
    </w:p>
    <w:p>
      <w:pPr>
        <w:pStyle w:val="BodyText"/>
      </w:pPr>
      <w:r>
        <w:rPr>
          <w:iCs/>
          <w:i/>
        </w:rPr>
        <w:t xml:space="preserve">Reported use and perceived availability of platforms (multiple response, N = 38)</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Platform</w:t>
            </w:r>
          </w:p>
        </w:tc>
        <w:tc>
          <w:tcPr/>
          <w:p>
            <w:pPr>
              <w:pStyle w:val="Compact"/>
              <w:jc w:val="right"/>
            </w:pPr>
            <w:r>
              <w:t xml:space="preserve">Used for class</w:t>
            </w:r>
          </w:p>
        </w:tc>
        <w:tc>
          <w:tcPr/>
          <w:p>
            <w:pPr>
              <w:pStyle w:val="Compact"/>
              <w:jc w:val="right"/>
            </w:pPr>
            <w:r>
              <w:t xml:space="preserve">Marked unusable in my country</w:t>
            </w:r>
          </w:p>
        </w:tc>
        <w:tc>
          <w:tcPr/>
          <w:p>
            <w:pPr>
              <w:pStyle w:val="Compact"/>
              <w:jc w:val="right"/>
            </w:pPr>
            <w:r>
              <w:t xml:space="preserve">Can use in my country</w:t>
            </w:r>
          </w:p>
        </w:tc>
      </w:tr>
      <w:tr>
        <w:tc>
          <w:tcPr/>
          <w:p>
            <w:pPr>
              <w:pStyle w:val="Compact"/>
              <w:jc w:val="left"/>
            </w:pPr>
            <w:r>
              <w:t xml:space="preserve">Tencent Meeting</w:t>
            </w:r>
          </w:p>
        </w:tc>
        <w:tc>
          <w:tcPr/>
          <w:p>
            <w:pPr>
              <w:pStyle w:val="Compact"/>
              <w:jc w:val="right"/>
            </w:pPr>
            <w:r>
              <w:t xml:space="preserve">71.1</w:t>
            </w:r>
          </w:p>
        </w:tc>
        <w:tc>
          <w:tcPr/>
          <w:p>
            <w:pPr>
              <w:pStyle w:val="Compact"/>
              <w:jc w:val="right"/>
            </w:pPr>
            <w:r>
              <w:t xml:space="preserve">n.a.</w:t>
            </w:r>
          </w:p>
        </w:tc>
        <w:tc>
          <w:tcPr/>
          <w:p>
            <w:pPr>
              <w:pStyle w:val="Compact"/>
              <w:jc w:val="right"/>
            </w:pPr>
            <w:r>
              <w:t xml:space="preserve">57.9</w:t>
            </w:r>
          </w:p>
        </w:tc>
      </w:tr>
      <w:tr>
        <w:tc>
          <w:tcPr/>
          <w:p>
            <w:pPr>
              <w:pStyle w:val="Compact"/>
              <w:jc w:val="left"/>
            </w:pPr>
            <w:r>
              <w:t xml:space="preserve">Zoom</w:t>
            </w:r>
          </w:p>
        </w:tc>
        <w:tc>
          <w:tcPr/>
          <w:p>
            <w:pPr>
              <w:pStyle w:val="Compact"/>
              <w:jc w:val="right"/>
            </w:pPr>
            <w:r>
              <w:t xml:space="preserve">47.4</w:t>
            </w:r>
          </w:p>
        </w:tc>
        <w:tc>
          <w:tcPr/>
          <w:p>
            <w:pPr>
              <w:pStyle w:val="Compact"/>
              <w:jc w:val="right"/>
            </w:pPr>
            <w:r>
              <w:t xml:space="preserve">n.a.</w:t>
            </w:r>
          </w:p>
        </w:tc>
        <w:tc>
          <w:tcPr/>
          <w:p>
            <w:pPr>
              <w:pStyle w:val="Compact"/>
              <w:jc w:val="right"/>
            </w:pPr>
            <w:r>
              <w:t xml:space="preserve">71.1</w:t>
            </w:r>
          </w:p>
        </w:tc>
      </w:tr>
      <w:tr>
        <w:tc>
          <w:tcPr/>
          <w:p>
            <w:pPr>
              <w:pStyle w:val="Compact"/>
              <w:jc w:val="left"/>
            </w:pPr>
            <w:r>
              <w:t xml:space="preserve">WeChat</w:t>
            </w:r>
          </w:p>
        </w:tc>
        <w:tc>
          <w:tcPr/>
          <w:p>
            <w:pPr>
              <w:pStyle w:val="Compact"/>
              <w:jc w:val="right"/>
            </w:pPr>
            <w:r>
              <w:t xml:space="preserve">31.6</w:t>
            </w:r>
          </w:p>
        </w:tc>
        <w:tc>
          <w:tcPr/>
          <w:p>
            <w:pPr>
              <w:pStyle w:val="Compact"/>
              <w:jc w:val="right"/>
            </w:pPr>
            <w:r>
              <w:t xml:space="preserve">n.a.</w:t>
            </w:r>
          </w:p>
        </w:tc>
        <w:tc>
          <w:tcPr/>
          <w:p>
            <w:pPr>
              <w:pStyle w:val="Compact"/>
              <w:jc w:val="right"/>
            </w:pPr>
            <w:r>
              <w:t xml:space="preserve">39.5</w:t>
            </w:r>
          </w:p>
        </w:tc>
      </w:tr>
      <w:tr>
        <w:tc>
          <w:tcPr/>
          <w:p>
            <w:pPr>
              <w:pStyle w:val="Compact"/>
              <w:jc w:val="left"/>
            </w:pPr>
            <w:r>
              <w:t xml:space="preserve">WhatsApp</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68.4</w:t>
            </w:r>
          </w:p>
        </w:tc>
      </w:tr>
      <w:tr>
        <w:tc>
          <w:tcPr/>
          <w:p>
            <w:pPr>
              <w:pStyle w:val="Compact"/>
              <w:jc w:val="left"/>
            </w:pPr>
            <w:r>
              <w:t xml:space="preserve">QQ</w:t>
            </w:r>
          </w:p>
        </w:tc>
        <w:tc>
          <w:tcPr/>
          <w:p>
            <w:pPr>
              <w:pStyle w:val="Compact"/>
              <w:jc w:val="right"/>
            </w:pPr>
            <w:r>
              <w:t xml:space="preserve">n.a.</w:t>
            </w:r>
          </w:p>
        </w:tc>
        <w:tc>
          <w:tcPr/>
          <w:p>
            <w:pPr>
              <w:pStyle w:val="Compact"/>
              <w:jc w:val="right"/>
            </w:pPr>
            <w:r>
              <w:t xml:space="preserve">50.0</w:t>
            </w:r>
          </w:p>
        </w:tc>
        <w:tc>
          <w:tcPr/>
          <w:p>
            <w:pPr>
              <w:pStyle w:val="Compact"/>
              <w:jc w:val="right"/>
            </w:pPr>
            <w:r>
              <w:t xml:space="preserve">n.a.</w:t>
            </w:r>
          </w:p>
        </w:tc>
      </w:tr>
      <w:tr>
        <w:tc>
          <w:tcPr/>
          <w:p>
            <w:pPr>
              <w:pStyle w:val="Compact"/>
              <w:jc w:val="left"/>
            </w:pPr>
            <w:r>
              <w:t xml:space="preserve">Chaoxing</w:t>
            </w:r>
          </w:p>
        </w:tc>
        <w:tc>
          <w:tcPr/>
          <w:p>
            <w:pPr>
              <w:pStyle w:val="Compact"/>
              <w:jc w:val="right"/>
            </w:pPr>
            <w:r>
              <w:t xml:space="preserve">n.a.</w:t>
            </w:r>
          </w:p>
        </w:tc>
        <w:tc>
          <w:tcPr/>
          <w:p>
            <w:pPr>
              <w:pStyle w:val="Compact"/>
              <w:jc w:val="right"/>
            </w:pPr>
            <w:r>
              <w:t xml:space="preserve">42.1</w:t>
            </w:r>
          </w:p>
        </w:tc>
        <w:tc>
          <w:tcPr/>
          <w:p>
            <w:pPr>
              <w:pStyle w:val="Compact"/>
              <w:jc w:val="right"/>
            </w:pPr>
            <w:r>
              <w:t xml:space="preserve">n.a.</w:t>
            </w:r>
          </w:p>
        </w:tc>
      </w:tr>
      <w:tr>
        <w:tc>
          <w:tcPr/>
          <w:p>
            <w:pPr>
              <w:pStyle w:val="Compact"/>
              <w:jc w:val="left"/>
            </w:pPr>
            <w:r>
              <w:t xml:space="preserve">DingTalk</w:t>
            </w:r>
          </w:p>
        </w:tc>
        <w:tc>
          <w:tcPr/>
          <w:p>
            <w:pPr>
              <w:pStyle w:val="Compact"/>
              <w:jc w:val="right"/>
            </w:pPr>
            <w:r>
              <w:t xml:space="preserve">n.a.</w:t>
            </w:r>
          </w:p>
        </w:tc>
        <w:tc>
          <w:tcPr/>
          <w:p>
            <w:pPr>
              <w:pStyle w:val="Compact"/>
              <w:jc w:val="right"/>
            </w:pPr>
            <w:r>
              <w:t xml:space="preserve">28.9</w:t>
            </w:r>
          </w:p>
        </w:tc>
        <w:tc>
          <w:tcPr/>
          <w:p>
            <w:pPr>
              <w:pStyle w:val="Compact"/>
              <w:jc w:val="right"/>
            </w:pPr>
            <w:r>
              <w:t xml:space="preserve">n.a.</w:t>
            </w:r>
          </w:p>
        </w:tc>
      </w:tr>
      <w:tr>
        <w:tc>
          <w:tcPr/>
          <w:p>
            <w:pPr>
              <w:pStyle w:val="Compact"/>
              <w:jc w:val="left"/>
            </w:pPr>
            <w:r>
              <w:t xml:space="preserve">Chinese MOOC (as printed)</w:t>
            </w:r>
          </w:p>
        </w:tc>
        <w:tc>
          <w:tcPr/>
          <w:p>
            <w:pPr>
              <w:pStyle w:val="Compact"/>
              <w:jc w:val="right"/>
            </w:pPr>
            <w:r>
              <w:t xml:space="preserve">n.a.</w:t>
            </w:r>
          </w:p>
        </w:tc>
        <w:tc>
          <w:tcPr/>
          <w:p>
            <w:pPr>
              <w:pStyle w:val="Compact"/>
              <w:jc w:val="right"/>
            </w:pPr>
            <w:r>
              <w:t xml:space="preserve">28.9</w:t>
            </w:r>
          </w:p>
        </w:tc>
        <w:tc>
          <w:tcPr/>
          <w:p>
            <w:pPr>
              <w:pStyle w:val="Compact"/>
              <w:jc w:val="right"/>
            </w:pPr>
            <w:r>
              <w:t xml:space="preserve">n.a.</w:t>
            </w:r>
          </w:p>
        </w:tc>
      </w:tr>
    </w:tbl>
    <w:p>
      <w:pPr>
        <w:pStyle w:val="BodyText"/>
      </w:pPr>
      <w:r>
        <w:rPr>
          <w:iCs/>
          <w:i/>
        </w:rPr>
        <w:t xml:space="preserve">Note.</w:t>
      </w:r>
      <w:r>
        <w:t xml:space="preserve"> </w:t>
      </w:r>
      <w:r>
        <w:t xml:space="preserve">n.a. = the item was not asked in that column.</w:t>
      </w:r>
      <w:r>
        <w:t xml:space="preserve"> </w:t>
      </w:r>
      <w:r>
        <w:t xml:space="preserve">“</w:t>
      </w:r>
      <w:r>
        <w:t xml:space="preserve">My country</w:t>
      </w:r>
      <w:r>
        <w:t xml:space="preserve">”</w:t>
      </w:r>
      <w:r>
        <w:t xml:space="preserve"> </w:t>
      </w:r>
      <w:r>
        <w:t xml:space="preserve">is the stem wording. QQ, Chaoxing, DingTalk, and Chinese MOOC are platforms often used in Chinese-university teaching; they are not exclusively campus systems.</w:t>
      </w:r>
      <w:r>
        <w:t xml:space="preserve"> </w:t>
      </w:r>
      <w:r>
        <w:t xml:space="preserve">“</w:t>
      </w:r>
      <w:r>
        <w:t xml:space="preserve">Marked unusable</w:t>
      </w:r>
      <w:r>
        <w:t xml:space="preserve">”</w:t>
      </w:r>
      <w:r>
        <w:t xml:space="preserve"> </w:t>
      </w:r>
      <w:r>
        <w:t xml:space="preserve">follows the item wording and is not a technical claim that the platform was blocked.</w:t>
      </w:r>
    </w:p>
    <w:bookmarkEnd w:id="33"/>
    <w:bookmarkStart w:id="34" w:name="stress-and-appraisals"/>
    <w:p>
      <w:pPr>
        <w:pStyle w:val="Heading3"/>
      </w:pPr>
      <w:r>
        <w:t xml:space="preserve">4.3 Stress and appraisals</w:t>
      </w:r>
    </w:p>
    <w:p>
      <w:pPr>
        <w:pStyle w:val="FirstParagraph"/>
      </w:pPr>
      <w:r>
        <w:t xml:space="preserve">Among those who said the home affected study very much, 11 of 14 also selected</w:t>
      </w:r>
      <w:r>
        <w:t xml:space="preserve"> </w:t>
      </w:r>
      <w:r>
        <w:t xml:space="preserve">“</w:t>
      </w:r>
      <w:r>
        <w:t xml:space="preserve">very high</w:t>
      </w:r>
      <w:r>
        <w:t xml:space="preserve">”</w:t>
      </w:r>
      <w:r>
        <w:t xml:space="preserve"> </w:t>
      </w:r>
      <w:r>
        <w:t xml:space="preserve">psychological stress; among the others, 3 of 24 did (two-sided Fisher’s exact</w:t>
      </w:r>
      <w:r>
        <w:t xml:space="preserve"> </w:t>
      </w:r>
      <w:r>
        <w:rPr>
          <w:iCs/>
          <w:i/>
        </w:rPr>
        <w:t xml:space="preserve">p</w:t>
      </w:r>
      <w:r>
        <w:t xml:space="preserve"> </w:t>
      </w:r>
      <w:r>
        <w:t xml:space="preserve">= .00008). That is a co-occurrence in this dataset, not evidence that the household caused stress.</w:t>
      </w:r>
    </w:p>
    <w:p>
      <w:pPr>
        <w:pStyle w:val="BodyText"/>
      </w:pPr>
      <w:r>
        <w:t xml:space="preserve">Worse internet speed was associated with a worse appraisal index (ρ = .65,</w:t>
      </w:r>
      <w:r>
        <w:t xml:space="preserve"> </w:t>
      </w:r>
      <w:r>
        <w:rPr>
          <w:iCs/>
          <w:i/>
        </w:rPr>
        <w:t xml:space="preserve">p</w:t>
      </w:r>
      <w:r>
        <w:t xml:space="preserve"> </w:t>
      </w:r>
      <w:r>
        <w:t xml:space="preserve">&lt; .001, percentile bootstrap 95% CI [.36, .84]; Table 4). An unvalidated post hoc count of selected infrastructure-problem options (unstable network, power interruptions, no signal) was not associated with the index (ρ = .02). That count is not interpreted as evidence against the role of infrastructure.</w:t>
      </w:r>
    </w:p>
    <w:p>
      <w:pPr>
        <w:pStyle w:val="BodyText"/>
      </w:pPr>
      <w:r>
        <w:t xml:space="preserve">Active interaction with the teacher</w:t>
      </w:r>
      <w:r>
        <w:t xml:space="preserve"> </w:t>
      </w:r>
      <w:r>
        <w:t xml:space="preserve">“</w:t>
      </w:r>
      <w:r>
        <w:t xml:space="preserve">very much</w:t>
      </w:r>
      <w:r>
        <w:t xml:space="preserve">”</w:t>
      </w:r>
      <w:r>
        <w:t xml:space="preserve"> </w:t>
      </w:r>
      <w:r>
        <w:t xml:space="preserve">was uncommon (6 of 38). Preferred live length was 45 minutes for half of the respondents and 30 minutes for 28.9%. One open comment said that even one minute online was</w:t>
      </w:r>
      <w:r>
        <w:t xml:space="preserve"> </w:t>
      </w:r>
      <w:r>
        <w:t xml:space="preserve">“</w:t>
      </w:r>
      <w:r>
        <w:t xml:space="preserve">not suitable.</w:t>
      </w:r>
      <w:r>
        <w:t xml:space="preserve">”</w:t>
      </w:r>
    </w:p>
    <w:p>
      <w:pPr>
        <w:pStyle w:val="BodyText"/>
      </w:pPr>
      <w:r>
        <w:rPr>
          <w:bCs/>
          <w:b/>
        </w:rPr>
        <w:t xml:space="preserve">Table 4</w:t>
      </w:r>
    </w:p>
    <w:p>
      <w:pPr>
        <w:pStyle w:val="BodyText"/>
      </w:pPr>
      <w:r>
        <w:rPr>
          <w:iCs/>
          <w:i/>
        </w:rPr>
        <w:t xml:space="preserve">Focal associations (N = 38)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Association</w:t>
            </w:r>
          </w:p>
        </w:tc>
        <w:tc>
          <w:tcPr/>
          <w:p>
            <w:pPr>
              <w:pStyle w:val="Compact"/>
              <w:jc w:val="left"/>
            </w:pPr>
            <w:r>
              <w:t xml:space="preserve">Result</w:t>
            </w:r>
          </w:p>
        </w:tc>
      </w:tr>
      <w:tr>
        <w:tc>
          <w:tcPr/>
          <w:p>
            <w:pPr>
              <w:pStyle w:val="Compact"/>
              <w:jc w:val="left"/>
            </w:pPr>
            <w:r>
              <w:t xml:space="preserve">Home affects study very much × very high stress</w:t>
            </w:r>
          </w:p>
        </w:tc>
        <w:tc>
          <w:tcPr/>
          <w:p>
            <w:pPr>
              <w:pStyle w:val="Compact"/>
              <w:jc w:val="left"/>
            </w:pPr>
            <w:r>
              <w:t xml:space="preserve">11/14 vs 3/24; two-sided Fisher’s exact</w:t>
            </w:r>
            <w:r>
              <w:t xml:space="preserve"> </w:t>
            </w:r>
            <w:r>
              <w:rPr>
                <w:iCs/>
                <w:i/>
              </w:rPr>
              <w:t xml:space="preserve">p</w:t>
            </w:r>
            <w:r>
              <w:t xml:space="preserve"> </w:t>
            </w:r>
            <w:r>
              <w:t xml:space="preserve">= .00008</w:t>
            </w:r>
          </w:p>
        </w:tc>
      </w:tr>
      <w:tr>
        <w:tc>
          <w:tcPr/>
          <w:p>
            <w:pPr>
              <w:pStyle w:val="Compact"/>
              <w:jc w:val="left"/>
            </w:pPr>
            <w:r>
              <w:t xml:space="preserve">Speed (worse) × appraisal index (worse)</w:t>
            </w:r>
          </w:p>
        </w:tc>
        <w:tc>
          <w:tcPr/>
          <w:p>
            <w:pPr>
              <w:pStyle w:val="Compact"/>
              <w:jc w:val="left"/>
            </w:pPr>
            <w:r>
              <w:t xml:space="preserve">ρ = .65, percentile bootstrap 95% CI [.36, .84],</w:t>
            </w:r>
            <w:r>
              <w:t xml:space="preserve"> </w:t>
            </w:r>
            <w:r>
              <w:rPr>
                <w:iCs/>
                <w:i/>
              </w:rPr>
              <w:t xml:space="preserve">p</w:t>
            </w:r>
            <w:r>
              <w:t xml:space="preserve"> </w:t>
            </w:r>
            <w:r>
              <w:t xml:space="preserve">&lt; .001</w:t>
            </w:r>
          </w:p>
        </w:tc>
      </w:tr>
      <w:tr>
        <w:tc>
          <w:tcPr/>
          <w:p>
            <w:pPr>
              <w:pStyle w:val="Compact"/>
              <w:jc w:val="left"/>
            </w:pPr>
            <w:r>
              <w:t xml:space="preserve">Infrastructure-problem count × appraisal index (exploratory post hoc)</w:t>
            </w:r>
          </w:p>
        </w:tc>
        <w:tc>
          <w:tcPr/>
          <w:p>
            <w:pPr>
              <w:pStyle w:val="Compact"/>
              <w:jc w:val="left"/>
            </w:pPr>
            <w:r>
              <w:t xml:space="preserve">ρ = .02, percentile bootstrap 95% CI [−.32, .37],</w:t>
            </w:r>
            <w:r>
              <w:t xml:space="preserve"> </w:t>
            </w:r>
            <w:r>
              <w:rPr>
                <w:iCs/>
                <w:i/>
              </w:rPr>
              <w:t xml:space="preserve">p</w:t>
            </w:r>
            <w:r>
              <w:t xml:space="preserve"> </w:t>
            </w:r>
            <w:r>
              <w:t xml:space="preserve">= .91</w:t>
            </w:r>
          </w:p>
        </w:tc>
      </w:tr>
    </w:tbl>
    <w:p>
      <w:pPr>
        <w:pStyle w:val="BodyText"/>
      </w:pPr>
      <w:r>
        <w:rPr>
          <w:iCs/>
          <w:i/>
        </w:rPr>
        <w:t xml:space="preserve">Note.</w:t>
      </w:r>
      <w:r>
        <w:t xml:space="preserve"> </w:t>
      </w:r>
      <w:r>
        <w:t xml:space="preserve">Analyses are exploratory. Odds ratios are omitted. The infrastructure-problem count is an unvalidated post hoc indicator and is not treated as a parallel scale.</w:t>
      </w:r>
    </w:p>
    <w:p>
      <w:pPr>
        <w:pStyle w:val="BodyText"/>
      </w:pPr>
      <w:r>
        <w:t xml:space="preserve">Among Pakistani-nationality respondents only (n = 37), the home and stress table remained 11/14 versus 3/23 (two-sided Fisher’s exact</w:t>
      </w:r>
      <w:r>
        <w:t xml:space="preserve"> </w:t>
      </w:r>
      <w:r>
        <w:rPr>
          <w:iCs/>
          <w:i/>
        </w:rPr>
        <w:t xml:space="preserve">p</w:t>
      </w:r>
      <w:r>
        <w:t xml:space="preserve"> </w:t>
      </w:r>
      <w:r>
        <w:t xml:space="preserve">= .00011) and speed × appraisal was ρ = .67 (percentile bootstrap 95% CI [.39, .85]).</w:t>
      </w:r>
    </w:p>
    <w:bookmarkEnd w:id="34"/>
    <w:bookmarkStart w:id="35" w:name="replacement-judgments"/>
    <w:p>
      <w:pPr>
        <w:pStyle w:val="Heading3"/>
      </w:pPr>
      <w:r>
        <w:t xml:space="preserve">4.4 Replacement judgments</w:t>
      </w:r>
    </w:p>
    <w:p>
      <w:pPr>
        <w:pStyle w:val="FirstParagraph"/>
      </w:pPr>
      <w:r>
        <w:t xml:space="preserve">Nineteen of 38 said online study could replace campus classes, and 19 said it could not. The form was split. That count is reported here because the item was on the questionnaire. It is not treated as a test of gender or of household type.</w:t>
      </w:r>
    </w:p>
    <w:bookmarkEnd w:id="35"/>
    <w:bookmarkEnd w:id="36"/>
    <w:bookmarkStart w:id="37" w:name="discussion"/>
    <w:p>
      <w:pPr>
        <w:pStyle w:val="Heading2"/>
      </w:pPr>
      <w:r>
        <w:t xml:space="preserve">5. Discussion</w:t>
      </w:r>
    </w:p>
    <w:p>
      <w:pPr>
        <w:pStyle w:val="FirstParagraph"/>
      </w:pPr>
      <w:r>
        <w:t xml:space="preserve">The data show the difficulties the field has named, networks, platforms, interaction, and strain, as learner-side reports in this sample. Those who said the home affected study</w:t>
      </w:r>
      <w:r>
        <w:t xml:space="preserve"> </w:t>
      </w:r>
      <w:r>
        <w:t xml:space="preserve">“</w:t>
      </w:r>
      <w:r>
        <w:t xml:space="preserve">very much</w:t>
      </w:r>
      <w:r>
        <w:t xml:space="preserve">”</w:t>
      </w:r>
      <w:r>
        <w:t xml:space="preserve"> </w:t>
      </w:r>
      <w:r>
        <w:t xml:space="preserve">more often selected</w:t>
      </w:r>
      <w:r>
        <w:t xml:space="preserve"> </w:t>
      </w:r>
      <w:r>
        <w:t xml:space="preserve">“</w:t>
      </w:r>
      <w:r>
        <w:t xml:space="preserve">very high stress,</w:t>
      </w:r>
      <w:r>
        <w:t xml:space="preserve">”</w:t>
      </w:r>
      <w:r>
        <w:t xml:space="preserve"> </w:t>
      </w:r>
      <w:r>
        <w:t xml:space="preserve">and worse reported internet speed was associated with a more negative appraisal of online learning. Both tests are exploratory. They do not prove that the household caused stress or that speed caused a worse view of the class. They do show that those answers travelled together in these 38 rows.</w:t>
      </w:r>
    </w:p>
    <w:p>
      <w:pPr>
        <w:pStyle w:val="BodyText"/>
      </w:pPr>
      <w:r>
        <w:t xml:space="preserve">Xu et al. (2022) show how character teaching was adapted on the sending side. Yu and Xu (2022) show learner-side ratings of online learning status among South Asian students in China, with overall positive reports in that larger sample. Zhang and Liu (2023) show designed online Chinese work. The present data add the home and platform conditions the 38 respondents marked in February 2022. A better textbook would not, by itself, have answered a live session on an unstable connection, or a required application that they marked unusable. The Yu and Xu questionnaire and this form are not the same sample and are not read here as a single test.</w:t>
      </w:r>
    </w:p>
    <w:p>
      <w:pPr>
        <w:pStyle w:val="BodyText"/>
      </w:pPr>
      <w:r>
        <w:t xml:space="preserve">QQ, Chaoxing, DingTalk, and Chinese MOOC were often marked unusable, while Zoom and WhatsApp were more often marked available. The items cannot separate country restrictions, routing, account rules, skills, or virtual private networks. They can show that a single required toolkit was not equally marked as usable in this sample.</w:t>
      </w:r>
    </w:p>
    <w:bookmarkEnd w:id="37"/>
    <w:bookmarkStart w:id="42" w:name="pedagogical-implications"/>
    <w:p>
      <w:pPr>
        <w:pStyle w:val="Heading2"/>
      </w:pPr>
      <w:r>
        <w:t xml:space="preserve">6. Pedagogical implications</w:t>
      </w:r>
    </w:p>
    <w:p>
      <w:pPr>
        <w:pStyle w:val="FirstParagraph"/>
      </w:pPr>
      <w:r>
        <w:t xml:space="preserve">In this sample, the questionnaire can support only a small set of classroom decisions.</w:t>
      </w:r>
    </w:p>
    <w:bookmarkStart w:id="38" w:name="platform-selection"/>
    <w:p>
      <w:pPr>
        <w:pStyle w:val="Heading3"/>
      </w:pPr>
      <w:r>
        <w:t xml:space="preserve">Platform selection</w:t>
      </w:r>
    </w:p>
    <w:p>
      <w:pPr>
        <w:pStyle w:val="FirstParagraph"/>
      </w:pPr>
      <w:r>
        <w:t xml:space="preserve">Because QQ and Chaoxing were frequently marked unusable (Table 3), a program should not treat the sending-side toolkit as given. Before it requires a platform, it has to ask whether learners can open it where they sit, and it has to name a usable alternative. WhatsApp was marked available here, but it was not recorded as used for class, so the data do not recommend it as a replacement.</w:t>
      </w:r>
    </w:p>
    <w:bookmarkEnd w:id="38"/>
    <w:bookmarkStart w:id="39" w:name="assessment-modes"/>
    <w:p>
      <w:pPr>
        <w:pStyle w:val="Heading3"/>
      </w:pPr>
      <w:r>
        <w:t xml:space="preserve">Assessment modes</w:t>
      </w:r>
    </w:p>
    <w:p>
      <w:pPr>
        <w:pStyle w:val="FirstParagraph"/>
      </w:pPr>
      <w:r>
        <w:t xml:space="preserve">Because only 28.9% described the home as quiet, 42.1% reported power interruptions, and 76.3% reported unstable networks (Table 2), institutions should not treat a live oral hour as the only assessable performance. Assessment that assumes a quiet, continuous campus hour will mark some of those conditions as learner failure.</w:t>
      </w:r>
    </w:p>
    <w:bookmarkEnd w:id="39"/>
    <w:bookmarkStart w:id="40" w:name="live-session-duration"/>
    <w:p>
      <w:pPr>
        <w:pStyle w:val="Heading3"/>
      </w:pPr>
      <w:r>
        <w:t xml:space="preserve">Live session duration</w:t>
      </w:r>
    </w:p>
    <w:p>
      <w:pPr>
        <w:pStyle w:val="FirstParagraph"/>
      </w:pPr>
      <w:r>
        <w:t xml:space="preserve">Preferred live length here was 45 minutes for half of the respondents and 30 minutes for 28.9%. One open comment said that even one minute online was</w:t>
      </w:r>
      <w:r>
        <w:t xml:space="preserve"> </w:t>
      </w:r>
      <w:r>
        <w:t xml:space="preserve">“</w:t>
      </w:r>
      <w:r>
        <w:t xml:space="preserve">not suitable.</w:t>
      </w:r>
      <w:r>
        <w:t xml:space="preserve">”</w:t>
      </w:r>
      <w:r>
        <w:t xml:space="preserve"> </w:t>
      </w:r>
      <w:r>
        <w:t xml:space="preserve">A shorter live slot or an asynchronous oral alternative is the suggestion the data can support.</w:t>
      </w:r>
    </w:p>
    <w:bookmarkEnd w:id="40"/>
    <w:bookmarkStart w:id="41" w:name="collecting-access-data"/>
    <w:p>
      <w:pPr>
        <w:pStyle w:val="Heading3"/>
      </w:pPr>
      <w:r>
        <w:t xml:space="preserve">Collecting access data</w:t>
      </w:r>
    </w:p>
    <w:p>
      <w:pPr>
        <w:pStyle w:val="FirstParagraph"/>
      </w:pPr>
      <w:r>
        <w:t xml:space="preserve">The form shows household and access conditions. It does not show how institutions adapted. Those conditions should be collected as part of course design, not after complaints.</w:t>
      </w:r>
    </w:p>
    <w:p>
      <w:pPr>
        <w:pStyle w:val="BodyText"/>
      </w:pPr>
      <w:r>
        <w:t xml:space="preserve">These suggestions are bound to this sample. They are not a national policy, and they are not evidence that later hybrid teaching has repeated this pattern (Stockwell &amp; Wang, 2023).</w:t>
      </w:r>
    </w:p>
    <w:bookmarkEnd w:id="41"/>
    <w:bookmarkEnd w:id="42"/>
    <w:bookmarkStart w:id="43" w:name="limitations"/>
    <w:p>
      <w:pPr>
        <w:pStyle w:val="Heading2"/>
      </w:pPr>
      <w:r>
        <w:t xml:space="preserve">7. Limitations</w:t>
      </w:r>
    </w:p>
    <w:p>
      <w:pPr>
        <w:pStyle w:val="FirstParagraph"/>
      </w:pPr>
      <w:r>
        <w:t xml:space="preserve">The sample is small (N = 38), network-recruited, and majority male; recruitment channel, host university, program type, and place of residence were not recorded, so all outcomes are self-report from a convenience group whose enrollment was not independently verified. The data are from February 2022 and concern emergency remote teaching; they are not evidence about current hybrid education. The appraisal index is descriptive rather than a validated scale, the infrastructure-problem count is an unvalidated post hoc indicator, the form did not measure institutional adaptation, IP metadata are not a location measure, and no ethics-committee number is available for the 2022 collection (Section 3.5).</w:t>
      </w:r>
    </w:p>
    <w:bookmarkEnd w:id="43"/>
    <w:bookmarkStart w:id="44" w:name="conclusion"/>
    <w:p>
      <w:pPr>
        <w:pStyle w:val="Heading2"/>
      </w:pPr>
      <w:r>
        <w:t xml:space="preserve">8. Conclusion</w:t>
      </w:r>
    </w:p>
    <w:p>
      <w:pPr>
        <w:pStyle w:val="FirstParagraph"/>
      </w:pPr>
      <w:r>
        <w:t xml:space="preserve">This study used questionnaire data from 38 respondents who reported online Chinese study. Unstable networks, power interruptions, and uneven platform access were common in the sample. Home conditions that</w:t>
      </w:r>
      <w:r>
        <w:t xml:space="preserve"> </w:t>
      </w:r>
      <w:r>
        <w:t xml:space="preserve">“</w:t>
      </w:r>
      <w:r>
        <w:t xml:space="preserve">affected study very much</w:t>
      </w:r>
      <w:r>
        <w:t xml:space="preserve">”</w:t>
      </w:r>
      <w:r>
        <w:t xml:space="preserve"> </w:t>
      </w:r>
      <w:r>
        <w:t xml:space="preserve">co-occurred with</w:t>
      </w:r>
      <w:r>
        <w:t xml:space="preserve"> </w:t>
      </w:r>
      <w:r>
        <w:t xml:space="preserve">“</w:t>
      </w:r>
      <w:r>
        <w:t xml:space="preserve">very high stress,</w:t>
      </w:r>
      <w:r>
        <w:t xml:space="preserve">”</w:t>
      </w:r>
      <w:r>
        <w:t xml:space="preserve"> </w:t>
      </w:r>
      <w:r>
        <w:t xml:space="preserve">and worse reported speed went with a more negative appraisal of online learning. Online Chinese teaching is not only a content problem. In these data it is also a delivery problem.</w:t>
      </w:r>
    </w:p>
    <w:bookmarkEnd w:id="44"/>
    <w:bookmarkStart w:id="45" w:name="appendix-a.-appraisal-items-and-coding"/>
    <w:p>
      <w:pPr>
        <w:pStyle w:val="Heading2"/>
      </w:pPr>
      <w:r>
        <w:t xml:space="preserve">Appendix A. Appraisal items and coding</w:t>
      </w:r>
    </w:p>
    <w:p>
      <w:pPr>
        <w:pStyle w:val="FirstParagraph"/>
      </w:pPr>
      <w:r>
        <w:t xml:space="preserve">English glosses of the item stems.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Stem (gloss)</w:t>
            </w:r>
          </w:p>
        </w:tc>
        <w:tc>
          <w:tcPr/>
          <w:p>
            <w:pPr>
              <w:pStyle w:val="Compact"/>
              <w:jc w:val="left"/>
            </w:pPr>
            <w:r>
              <w:t xml:space="preserve">1</w:t>
            </w:r>
          </w:p>
        </w:tc>
        <w:tc>
          <w:tcPr/>
          <w:p>
            <w:pPr>
              <w:pStyle w:val="Compact"/>
              <w:jc w:val="left"/>
            </w:pPr>
            <w:r>
              <w:t xml:space="preserve">Higher</w:t>
            </w:r>
          </w:p>
        </w:tc>
      </w:tr>
      <w:tr>
        <w:tc>
          <w:tcPr/>
          <w:p>
            <w:pPr>
              <w:pStyle w:val="Compact"/>
              <w:jc w:val="left"/>
            </w:pPr>
            <w:r>
              <w:t xml:space="preserve">Learned (Q8)</w:t>
            </w:r>
          </w:p>
        </w:tc>
        <w:tc>
          <w:tcPr/>
          <w:p>
            <w:pPr>
              <w:pStyle w:val="Compact"/>
              <w:jc w:val="left"/>
            </w:pPr>
            <w:r>
              <w:t xml:space="preserve">Can you learn a lot in online class?</w:t>
            </w:r>
          </w:p>
        </w:tc>
        <w:tc>
          <w:tcPr/>
          <w:p>
            <w:pPr>
              <w:pStyle w:val="Compact"/>
              <w:jc w:val="left"/>
            </w:pPr>
            <w:r>
              <w:t xml:space="preserve">a lot</w:t>
            </w:r>
          </w:p>
        </w:tc>
        <w:tc>
          <w:tcPr/>
          <w:p>
            <w:pPr>
              <w:pStyle w:val="Compact"/>
              <w:jc w:val="left"/>
            </w:pPr>
            <w:r>
              <w:t xml:space="preserve">worse appraisal</w:t>
            </w:r>
          </w:p>
        </w:tc>
      </w:tr>
      <w:tr>
        <w:tc>
          <w:tcPr/>
          <w:p>
            <w:pPr>
              <w:pStyle w:val="Compact"/>
              <w:jc w:val="left"/>
            </w:pPr>
            <w:r>
              <w:t xml:space="preserve">Improve (Q9)</w:t>
            </w:r>
          </w:p>
        </w:tc>
        <w:tc>
          <w:tcPr/>
          <w:p>
            <w:pPr>
              <w:pStyle w:val="Compact"/>
              <w:jc w:val="left"/>
            </w:pPr>
            <w:r>
              <w:t xml:space="preserve">Can online study improve Chinese?</w:t>
            </w:r>
          </w:p>
        </w:tc>
        <w:tc>
          <w:tcPr/>
          <w:p>
            <w:pPr>
              <w:pStyle w:val="Compact"/>
              <w:jc w:val="left"/>
            </w:pPr>
            <w:r>
              <w:t xml:space="preserve">very much</w:t>
            </w:r>
          </w:p>
        </w:tc>
        <w:tc>
          <w:tcPr/>
          <w:p>
            <w:pPr>
              <w:pStyle w:val="Compact"/>
              <w:jc w:val="left"/>
            </w:pPr>
            <w:r>
              <w:t xml:space="preserve">worse appraisal</w:t>
            </w:r>
          </w:p>
        </w:tc>
      </w:tr>
      <w:tr>
        <w:tc>
          <w:tcPr/>
          <w:p>
            <w:pPr>
              <w:pStyle w:val="Compact"/>
              <w:jc w:val="left"/>
            </w:pPr>
            <w:r>
              <w:t xml:space="preserve">Interest (Q10)</w:t>
            </w:r>
          </w:p>
        </w:tc>
        <w:tc>
          <w:tcPr/>
          <w:p>
            <w:pPr>
              <w:pStyle w:val="Compact"/>
              <w:jc w:val="left"/>
            </w:pPr>
            <w:r>
              <w:t xml:space="preserve">Does it spark learning interest?</w:t>
            </w:r>
          </w:p>
        </w:tc>
        <w:tc>
          <w:tcPr/>
          <w:p>
            <w:pPr>
              <w:pStyle w:val="Compact"/>
              <w:jc w:val="left"/>
            </w:pPr>
            <w:r>
              <w:t xml:space="preserve">very much</w:t>
            </w:r>
          </w:p>
        </w:tc>
        <w:tc>
          <w:tcPr/>
          <w:p>
            <w:pPr>
              <w:pStyle w:val="Compact"/>
              <w:jc w:val="left"/>
            </w:pPr>
            <w:r>
              <w:t xml:space="preserve">worse appraisal</w:t>
            </w:r>
          </w:p>
        </w:tc>
      </w:tr>
      <w:tr>
        <w:tc>
          <w:tcPr/>
          <w:p>
            <w:pPr>
              <w:pStyle w:val="Compact"/>
              <w:jc w:val="left"/>
            </w:pPr>
            <w:r>
              <w:t xml:space="preserve">Speed (Q14)</w:t>
            </w:r>
          </w:p>
        </w:tc>
        <w:tc>
          <w:tcPr/>
          <w:p>
            <w:pPr>
              <w:pStyle w:val="Compact"/>
              <w:jc w:val="left"/>
            </w:pPr>
            <w:r>
              <w:t xml:space="preserve">Internet speed</w:t>
            </w:r>
          </w:p>
        </w:tc>
        <w:tc>
          <w:tcPr/>
          <w:p>
            <w:pPr>
              <w:pStyle w:val="Compact"/>
              <w:jc w:val="left"/>
            </w:pPr>
            <w:r>
              <w:t xml:space="preserve">very good</w:t>
            </w:r>
          </w:p>
        </w:tc>
        <w:tc>
          <w:tcPr/>
          <w:p>
            <w:pPr>
              <w:pStyle w:val="Compact"/>
              <w:jc w:val="left"/>
            </w:pPr>
            <w:r>
              <w:t xml:space="preserve">worse speed</w:t>
            </w:r>
          </w:p>
        </w:tc>
      </w:tr>
      <w:tr>
        <w:tc>
          <w:tcPr/>
          <w:p>
            <w:pPr>
              <w:pStyle w:val="Compact"/>
              <w:jc w:val="left"/>
            </w:pPr>
            <w:r>
              <w:t xml:space="preserve">Stress (Q24)</w:t>
            </w:r>
          </w:p>
        </w:tc>
        <w:tc>
          <w:tcPr/>
          <w:p>
            <w:pPr>
              <w:pStyle w:val="Compact"/>
              <w:jc w:val="left"/>
            </w:pPr>
            <w:r>
              <w:t xml:space="preserve">Psychological stress</w:t>
            </w:r>
          </w:p>
        </w:tc>
        <w:tc>
          <w:tcPr/>
          <w:p>
            <w:pPr>
              <w:pStyle w:val="Compact"/>
              <w:jc w:val="left"/>
            </w:pPr>
            <w:r>
              <w:t xml:space="preserve">very high</w:t>
            </w:r>
          </w:p>
        </w:tc>
        <w:tc>
          <w:tcPr/>
          <w:p>
            <w:pPr>
              <w:pStyle w:val="Compact"/>
              <w:jc w:val="left"/>
            </w:pPr>
            <w:r>
              <w:t xml:space="preserve">less stress</w:t>
            </w:r>
          </w:p>
        </w:tc>
      </w:tr>
      <w:tr>
        <w:tc>
          <w:tcPr/>
          <w:p>
            <w:pPr>
              <w:pStyle w:val="Compact"/>
              <w:jc w:val="left"/>
            </w:pPr>
            <w:r>
              <w:t xml:space="preserve">Interaction (Q25)</w:t>
            </w:r>
          </w:p>
        </w:tc>
        <w:tc>
          <w:tcPr/>
          <w:p>
            <w:pPr>
              <w:pStyle w:val="Compact"/>
              <w:jc w:val="left"/>
            </w:pPr>
            <w:r>
              <w:t xml:space="preserve">Active interaction with teacher</w:t>
            </w:r>
          </w:p>
        </w:tc>
        <w:tc>
          <w:tcPr/>
          <w:p>
            <w:pPr>
              <w:pStyle w:val="Compact"/>
              <w:jc w:val="left"/>
            </w:pPr>
            <w:r>
              <w:t xml:space="preserve">very much</w:t>
            </w:r>
          </w:p>
        </w:tc>
        <w:tc>
          <w:tcPr/>
          <w:p>
            <w:pPr>
              <w:pStyle w:val="Compact"/>
              <w:jc w:val="left"/>
            </w:pPr>
            <w:r>
              <w:t xml:space="preserve">thinner interaction</w:t>
            </w:r>
          </w:p>
        </w:tc>
      </w:tr>
    </w:tbl>
    <w:p>
      <w:pPr>
        <w:pStyle w:val="BodyText"/>
      </w:pPr>
      <w:r>
        <w:t xml:space="preserve">Index = mean of Q8, Q9, and Q10 (n = 38; no missing on these three).</w:t>
      </w:r>
    </w:p>
    <w:bookmarkEnd w:id="45"/>
    <w:bookmarkStart w:id="46" w:name="appendix-b.-secondary-statistics"/>
    <w:p>
      <w:pPr>
        <w:pStyle w:val="Heading2"/>
      </w:pPr>
      <w:r>
        <w:t xml:space="preserve">Appendix B. Secondary statistics</w:t>
      </w:r>
    </w:p>
    <w:p>
      <w:pPr>
        <w:pStyle w:val="FirstParagraph"/>
      </w:pPr>
      <w:r>
        <w:t xml:space="preserve">Female × cannot-replace and learned-little × cannot-replace have identical cell counts (9/11 vs 10/27; Fisher’s exact</w:t>
      </w:r>
      <w:r>
        <w:t xml:space="preserve"> </w:t>
      </w:r>
      <w:r>
        <w:rPr>
          <w:iCs/>
          <w:i/>
        </w:rPr>
        <w:t xml:space="preserve">p</w:t>
      </w:r>
      <w:r>
        <w:t xml:space="preserve"> </w:t>
      </w:r>
      <w:r>
        <w:t xml:space="preserve">= .029). Poor internet × cannot-replace: 8/10 vs 11/28, Fisher’s exact</w:t>
      </w:r>
      <w:r>
        <w:t xml:space="preserve"> </w:t>
      </w:r>
      <w:r>
        <w:rPr>
          <w:iCs/>
          <w:i/>
        </w:rPr>
        <w:t xml:space="preserve">p</w:t>
      </w:r>
      <w:r>
        <w:t xml:space="preserve"> </w:t>
      </w:r>
      <w:r>
        <w:t xml:space="preserve">= .062. Mann–Whitney tests by gender on ordinals all had</w:t>
      </w:r>
      <w:r>
        <w:t xml:space="preserve"> </w:t>
      </w:r>
      <w:r>
        <w:rPr>
          <w:iCs/>
          <w:i/>
        </w:rPr>
        <w:t xml:space="preserve">p</w:t>
      </w:r>
      <w:r>
        <w:t xml:space="preserve"> </w:t>
      </w:r>
      <w:r>
        <w:t xml:space="preserve">≥ .36.</w:t>
      </w:r>
    </w:p>
    <w:bookmarkEnd w:id="46"/>
    <w:bookmarkStart w:id="47" w:name="references"/>
    <w:p>
      <w:pPr>
        <w:pStyle w:val="Heading2"/>
      </w:pPr>
      <w:r>
        <w:t xml:space="preserve">References</w:t>
      </w:r>
    </w:p>
    <w:p>
      <w:pPr>
        <w:pStyle w:val="FirstParagraph"/>
      </w:pPr>
      <w:r>
        <w:t xml:space="preserve">Ali, W. (2020). Online and remote learning in higher education institutes: A necessity in light of COVID-19 pandemic.</w:t>
      </w:r>
      <w:r>
        <w:t xml:space="preserve"> </w:t>
      </w:r>
      <w:r>
        <w:rPr>
          <w:iCs/>
          <w:i/>
        </w:rPr>
        <w:t xml:space="preserve">Higher Education Studies, 10</w:t>
      </w:r>
      <w:r>
        <w:t xml:space="preserve">(3), 16-25. https://doi.org/10.5539/hes.v10n3p16</w:t>
      </w:r>
    </w:p>
    <w:p>
      <w:pPr>
        <w:pStyle w:val="BodyText"/>
      </w:pPr>
      <w:r>
        <w:t xml:space="preserve">Beaunoyer, E., Dupéré, S., &amp; Guitton, M. J. (2020). COVID-19 and digital inequalities: Reciprocal impacts and mitigation strategies.</w:t>
      </w:r>
      <w:r>
        <w:t xml:space="preserve"> </w:t>
      </w:r>
      <w:r>
        <w:rPr>
          <w:iCs/>
          <w:i/>
        </w:rPr>
        <w:t xml:space="preserve">Computers in Human Behavior, 111</w:t>
      </w:r>
      <w:r>
        <w:t xml:space="preserve">, Article 106424. https://doi.org/10.1016/j.chb.2020.106424</w:t>
      </w:r>
    </w:p>
    <w:p>
      <w:pPr>
        <w:pStyle w:val="BodyText"/>
      </w:pPr>
      <w:r>
        <w:t xml:space="preserve">Gacs, A., Goertler, S., &amp; Spasova, S. (2020). Planned online language education versus crisis-prompted online language teaching: Lessons for the future.</w:t>
      </w:r>
      <w:r>
        <w:t xml:space="preserve"> </w:t>
      </w:r>
      <w:r>
        <w:rPr>
          <w:iCs/>
          <w:i/>
        </w:rPr>
        <w:t xml:space="preserve">Foreign Language Annals, 53</w:t>
      </w:r>
      <w:r>
        <w:t xml:space="preserve">(2), 380-392. https://doi.org/10.1111/flan.12460</w:t>
      </w:r>
    </w:p>
    <w:p>
      <w:pPr>
        <w:pStyle w:val="BodyText"/>
      </w:pPr>
      <w:r>
        <w:t xml:space="preserve">Gong, Y., Gao, X., &amp; Lyu, B. (2020b). Teaching Chinese as a second or foreign language to non-Chinese learners in mainland China (2014-2018).</w:t>
      </w:r>
      <w:r>
        <w:t xml:space="preserve"> </w:t>
      </w:r>
      <w:r>
        <w:rPr>
          <w:iCs/>
          <w:i/>
        </w:rPr>
        <w:t xml:space="preserve">Language Teaching, 53</w:t>
      </w:r>
      <w:r>
        <w:t xml:space="preserve">(1), 44-62. https://doi.org/10.1017/S0261444819000387</w:t>
      </w:r>
    </w:p>
    <w:p>
      <w:pPr>
        <w:pStyle w:val="BodyText"/>
      </w:pPr>
      <w:r>
        <w:t xml:space="preserve">González-Lloret, M. (2020). Collaborative tasks for online language teaching.</w:t>
      </w:r>
      <w:r>
        <w:t xml:space="preserve"> </w:t>
      </w:r>
      <w:r>
        <w:rPr>
          <w:iCs/>
          <w:i/>
        </w:rPr>
        <w:t xml:space="preserve">Foreign Language Annals, 53</w:t>
      </w:r>
      <w:r>
        <w:t xml:space="preserve">(2), 260-269. https://doi.org/10.1111/flan.12466</w:t>
      </w:r>
    </w:p>
    <w:p>
      <w:pPr>
        <w:pStyle w:val="BodyText"/>
      </w:pPr>
      <w:r>
        <w:t xml:space="preserve">Guenier, A. W., Xing, M., &amp; Yan, J. (2026). From barriers to breakthroughs: Communicating Chinese culture to Irish learners with a multimodality online course.</w:t>
      </w:r>
      <w:r>
        <w:t xml:space="preserve"> </w:t>
      </w:r>
      <w:r>
        <w:rPr>
          <w:iCs/>
          <w:i/>
        </w:rPr>
        <w:t xml:space="preserve">Language, Culture and Curriculum</w:t>
      </w:r>
      <w:r>
        <w:t xml:space="preserve">. Advance online publication. https://doi.org/10.1080/07908318.2026.2626775</w:t>
      </w:r>
    </w:p>
    <w:p>
      <w:pPr>
        <w:pStyle w:val="BodyText"/>
      </w:pPr>
      <w:r>
        <w:t xml:space="preserve">Guerrettaz, A. M., Engman, M. M., &amp; Matsumoto, Y. (2021). Empirically defining language learning and teaching materials in use through sociomaterial perspectives.</w:t>
      </w:r>
      <w:r>
        <w:t xml:space="preserve"> </w:t>
      </w:r>
      <w:r>
        <w:rPr>
          <w:iCs/>
          <w:i/>
        </w:rPr>
        <w:t xml:space="preserve">The Modern Language Journal, 105</w:t>
      </w:r>
      <w:r>
        <w:t xml:space="preserve">(S1), 3-20. https://doi.org/10.1111/modl.12691</w:t>
      </w:r>
    </w:p>
    <w:p>
      <w:pPr>
        <w:pStyle w:val="BodyText"/>
      </w:pPr>
      <w:r>
        <w:t xml:space="preserve">Guo, C., &amp; Wan, B. (2022). The digital divide in online learning in China during the COVID-19 pandemic.</w:t>
      </w:r>
      <w:r>
        <w:t xml:space="preserve"> </w:t>
      </w:r>
      <w:r>
        <w:rPr>
          <w:iCs/>
          <w:i/>
        </w:rPr>
        <w:t xml:space="preserve">Technology in Society, 71</w:t>
      </w:r>
      <w:r>
        <w:t xml:space="preserve">, Article 102122. https://doi.org/10.1016/j.techsoc.2022.102122</w:t>
      </w:r>
    </w:p>
    <w:p>
      <w:pPr>
        <w:pStyle w:val="BodyText"/>
      </w:pPr>
      <w:r>
        <w:t xml:space="preserve">Helsper, E. (2021).</w:t>
      </w:r>
      <w:r>
        <w:t xml:space="preserve"> </w:t>
      </w:r>
      <w:r>
        <w:rPr>
          <w:iCs/>
          <w:i/>
        </w:rPr>
        <w:t xml:space="preserve">The digital disconnect: The social causes and consequences of digital inequalities</w:t>
      </w:r>
      <w:r>
        <w:t xml:space="preserve">. SAGE.</w:t>
      </w:r>
    </w:p>
    <w:p>
      <w:pPr>
        <w:pStyle w:val="BodyText"/>
      </w:pPr>
      <w:r>
        <w:t xml:space="preserve">Hodges, C., Moore, S., Lockee, B., Trust, T., &amp; Bond, A. (2020). The difference between emergency remote teaching and online learning.</w:t>
      </w:r>
      <w:r>
        <w:t xml:space="preserve"> </w:t>
      </w:r>
      <w:r>
        <w:rPr>
          <w:iCs/>
          <w:i/>
        </w:rPr>
        <w:t xml:space="preserve">EDUCAUSE Review</w:t>
      </w:r>
      <w:r>
        <w:t xml:space="preserve">. https://er.educause.edu/articles/2020/3/the-difference-between-emergency-remote-teaching-and-online-learning</w:t>
      </w:r>
    </w:p>
    <w:p>
      <w:pPr>
        <w:pStyle w:val="BodyText"/>
      </w:pPr>
      <w:r>
        <w:t xml:space="preserve">Jin, L., Xu, Y., &amp; Deifell, E. (2023). College-level world language faculty background characteristics and their perceptions of online language teaching during the pandemic.</w:t>
      </w:r>
      <w:r>
        <w:t xml:space="preserve"> </w:t>
      </w:r>
      <w:r>
        <w:rPr>
          <w:iCs/>
          <w:i/>
        </w:rPr>
        <w:t xml:space="preserve">Foreign Language Annals, 57</w:t>
      </w:r>
      <w:r>
        <w:t xml:space="preserve">(1), 137-162. https://doi.org/10.1111/flan.12689</w:t>
      </w:r>
    </w:p>
    <w:p>
      <w:pPr>
        <w:pStyle w:val="BodyText"/>
      </w:pPr>
      <w:r>
        <w:t xml:space="preserve">Li, J., &amp; Li, C. (2024). A scoping review of the research on the teaching models of online international Chinese language teaching.</w:t>
      </w:r>
      <w:r>
        <w:t xml:space="preserve"> </w:t>
      </w:r>
      <w:r>
        <w:rPr>
          <w:iCs/>
          <w:i/>
        </w:rPr>
        <w:t xml:space="preserve">Journal of Education and Learning, 13</w:t>
      </w:r>
      <w:r>
        <w:t xml:space="preserve">(4), Article 255. https://doi.org/10.5539/jel.v13n4p255</w:t>
      </w:r>
    </w:p>
    <w:p>
      <w:pPr>
        <w:pStyle w:val="BodyText"/>
      </w:pPr>
      <w:r>
        <w:t xml:space="preserve">Lomicka, L. (2020). Creating and sustaining virtual language communities.</w:t>
      </w:r>
      <w:r>
        <w:t xml:space="preserve"> </w:t>
      </w:r>
      <w:r>
        <w:rPr>
          <w:iCs/>
          <w:i/>
        </w:rPr>
        <w:t xml:space="preserve">Foreign Language Annals, 53</w:t>
      </w:r>
      <w:r>
        <w:t xml:space="preserve">(2), 306-313. https://doi.org/10.1111/flan.12456</w:t>
      </w:r>
    </w:p>
    <w:p>
      <w:pPr>
        <w:pStyle w:val="BodyText"/>
      </w:pPr>
      <w:r>
        <w:t xml:space="preserve">MacIntyre, P. D., Gregersen, T., &amp; Mercer, S. (2020). Language teachers’ coping strategies during the Covid-19 conversion to online teaching: Correlations with stress, wellbeing and negative emotions.</w:t>
      </w:r>
      <w:r>
        <w:t xml:space="preserve"> </w:t>
      </w:r>
      <w:r>
        <w:rPr>
          <w:iCs/>
          <w:i/>
        </w:rPr>
        <w:t xml:space="preserve">System, 94</w:t>
      </w:r>
      <w:r>
        <w:t xml:space="preserve">, Article 102352. https://doi.org/10.1016/j.system.2020.102352</w:t>
      </w:r>
    </w:p>
    <w:p>
      <w:pPr>
        <w:pStyle w:val="BodyText"/>
      </w:pPr>
      <w:r>
        <w:t xml:space="preserve">Moorhouse, B. L. (2023). Teachers’ digital technology use after a period of online teaching.</w:t>
      </w:r>
      <w:r>
        <w:t xml:space="preserve"> </w:t>
      </w:r>
      <w:r>
        <w:rPr>
          <w:iCs/>
          <w:i/>
        </w:rPr>
        <w:t xml:space="preserve">ELT Journal, 77</w:t>
      </w:r>
      <w:r>
        <w:t xml:space="preserve">(4), 445-457. https://doi.org/10.1093/elt/ccac050</w:t>
      </w:r>
    </w:p>
    <w:p>
      <w:pPr>
        <w:pStyle w:val="BodyText"/>
      </w:pPr>
      <w:r>
        <w:t xml:space="preserve">Moser, K. M., Wei, T., &amp; Brenner, D. (2021). Remote teaching during COVID-19: Implications from a national survey of language educators.</w:t>
      </w:r>
      <w:r>
        <w:t xml:space="preserve"> </w:t>
      </w:r>
      <w:r>
        <w:rPr>
          <w:iCs/>
          <w:i/>
        </w:rPr>
        <w:t xml:space="preserve">System, 97</w:t>
      </w:r>
      <w:r>
        <w:t xml:space="preserve">, Article 102431. https://doi.org/10.1016/j.system.2020.102431</w:t>
      </w:r>
    </w:p>
    <w:p>
      <w:pPr>
        <w:pStyle w:val="BodyText"/>
      </w:pPr>
      <w:r>
        <w:t xml:space="preserve">Payne, J. S. (2020). Developing L2 productive language skills online and the strategic use of instructional tools.</w:t>
      </w:r>
      <w:r>
        <w:t xml:space="preserve"> </w:t>
      </w:r>
      <w:r>
        <w:rPr>
          <w:iCs/>
          <w:i/>
        </w:rPr>
        <w:t xml:space="preserve">Foreign Language Annals, 53</w:t>
      </w:r>
      <w:r>
        <w:t xml:space="preserve">(2), 243-249. https://doi.org/10.1111/flan.12457</w:t>
      </w:r>
    </w:p>
    <w:p>
      <w:pPr>
        <w:pStyle w:val="BodyText"/>
      </w:pPr>
      <w:r>
        <w:t xml:space="preserve">Qi, X. (2025).</w:t>
      </w:r>
      <w:r>
        <w:t xml:space="preserve"> </w:t>
      </w:r>
      <w:r>
        <w:t xml:space="preserve">‘</w:t>
      </w:r>
      <w:r>
        <w:t xml:space="preserve">My speech becomes just a voice, a picture</w:t>
      </w:r>
      <w:r>
        <w:t xml:space="preserve">’</w:t>
      </w:r>
      <w:r>
        <w:t xml:space="preserve">: Exploring language anxiety in Chinese as a second language learning in online environments.</w:t>
      </w:r>
      <w:r>
        <w:t xml:space="preserve"> </w:t>
      </w:r>
      <w:r>
        <w:rPr>
          <w:iCs/>
          <w:i/>
        </w:rPr>
        <w:t xml:space="preserve">Language Teaching Research</w:t>
      </w:r>
      <w:r>
        <w:t xml:space="preserve">. Advance online publication. https://doi.org/10.1177/13621688251387320</w:t>
      </w:r>
    </w:p>
    <w:p>
      <w:pPr>
        <w:pStyle w:val="BodyText"/>
      </w:pPr>
      <w:r>
        <w:t xml:space="preserve">Russell, V. (2020). Language anxiety and the online learner.</w:t>
      </w:r>
      <w:r>
        <w:t xml:space="preserve"> </w:t>
      </w:r>
      <w:r>
        <w:rPr>
          <w:iCs/>
          <w:i/>
        </w:rPr>
        <w:t xml:space="preserve">Foreign Language Annals, 53</w:t>
      </w:r>
      <w:r>
        <w:t xml:space="preserve">(2), 338-352. https://doi.org/10.1111/flan.12461</w:t>
      </w:r>
    </w:p>
    <w:p>
      <w:pPr>
        <w:pStyle w:val="BodyText"/>
      </w:pPr>
      <w:r>
        <w:t xml:space="preserve">Stockwell, G., &amp; Wang, Y. (2023). Exploring the challenges of technology in language teaching in the aftermath of the pandemic.</w:t>
      </w:r>
      <w:r>
        <w:t xml:space="preserve"> </w:t>
      </w:r>
      <w:r>
        <w:rPr>
          <w:iCs/>
          <w:i/>
        </w:rPr>
        <w:t xml:space="preserve">RELC Journal, 54</w:t>
      </w:r>
      <w:r>
        <w:t xml:space="preserve">(2), 474-482. https://doi.org/10.1177/00336882231168438</w:t>
      </w:r>
    </w:p>
    <w:p>
      <w:pPr>
        <w:pStyle w:val="BodyText"/>
      </w:pPr>
      <w:r>
        <w:t xml:space="preserve">Tao, J., &amp; Gao, X. (2022). Teaching and learning languages online: Challenges and responses.</w:t>
      </w:r>
      <w:r>
        <w:t xml:space="preserve"> </w:t>
      </w:r>
      <w:r>
        <w:rPr>
          <w:iCs/>
          <w:i/>
        </w:rPr>
        <w:t xml:space="preserve">System, 107</w:t>
      </w:r>
      <w:r>
        <w:t xml:space="preserve">, Article 102819. https://doi.org/10.1016/j.system.2022.102819</w:t>
      </w:r>
    </w:p>
    <w:p>
      <w:pPr>
        <w:pStyle w:val="BodyText"/>
      </w:pPr>
      <w:r>
        <w:t xml:space="preserve">van Dijk, J. (2020).</w:t>
      </w:r>
      <w:r>
        <w:t xml:space="preserve"> </w:t>
      </w:r>
      <w:r>
        <w:rPr>
          <w:iCs/>
          <w:i/>
        </w:rPr>
        <w:t xml:space="preserve">The digital divide</w:t>
      </w:r>
      <w:r>
        <w:t xml:space="preserve">. Polity.</w:t>
      </w:r>
    </w:p>
    <w:p>
      <w:pPr>
        <w:pStyle w:val="BodyText"/>
      </w:pPr>
      <w:r>
        <w:t xml:space="preserve">van Lier, L. (2004).</w:t>
      </w:r>
      <w:r>
        <w:t xml:space="preserve"> </w:t>
      </w:r>
      <w:r>
        <w:rPr>
          <w:iCs/>
          <w:i/>
        </w:rPr>
        <w:t xml:space="preserve">The ecology and semiotics of language learning: A sociocultural perspective</w:t>
      </w:r>
      <w:r>
        <w:t xml:space="preserve">. Kluwer.</w:t>
      </w:r>
    </w:p>
    <w:p>
      <w:pPr>
        <w:pStyle w:val="BodyText"/>
      </w:pPr>
      <w:r>
        <w:t xml:space="preserve">Vishnu, S., Tengli, M. B., Ramadas, S., Sathyan, A. R., &amp; Bhatt, A. (2024). Bridging the divide: Assessing digital infrastructure for higher education online learning.</w:t>
      </w:r>
      <w:r>
        <w:t xml:space="preserve"> </w:t>
      </w:r>
      <w:r>
        <w:rPr>
          <w:iCs/>
          <w:i/>
        </w:rPr>
        <w:t xml:space="preserve">TechTrends, 68</w:t>
      </w:r>
      <w:r>
        <w:t xml:space="preserve">(6), 1107-1116. https://doi.org/10.1007/s11528-024-00997-4</w:t>
      </w:r>
    </w:p>
    <w:p>
      <w:pPr>
        <w:pStyle w:val="BodyText"/>
      </w:pPr>
      <w:r>
        <w:t xml:space="preserve">Warschauer, M. (2003).</w:t>
      </w:r>
      <w:r>
        <w:t xml:space="preserve"> </w:t>
      </w:r>
      <w:r>
        <w:rPr>
          <w:iCs/>
          <w:i/>
        </w:rPr>
        <w:t xml:space="preserve">Technology and social inclusion: Rethinking the digital divide</w:t>
      </w:r>
      <w:r>
        <w:t xml:space="preserve">. MIT Press.</w:t>
      </w:r>
    </w:p>
    <w:p>
      <w:pPr>
        <w:pStyle w:val="BodyText"/>
      </w:pPr>
      <w:r>
        <w:t xml:space="preserve">Wen, X., &amp; Liu, F. (2025). Emotional dynamics of advanced Chinese as a second language learners: A Q methodology study.</w:t>
      </w:r>
      <w:r>
        <w:t xml:space="preserve"> </w:t>
      </w:r>
      <w:r>
        <w:rPr>
          <w:iCs/>
          <w:i/>
        </w:rPr>
        <w:t xml:space="preserve">Language, Culture and Curriculum, 38</w:t>
      </w:r>
      <w:r>
        <w:t xml:space="preserve">(3), 380-400. https://doi.org/10.1080/07908318.2025.2486449</w:t>
      </w:r>
    </w:p>
    <w:p>
      <w:pPr>
        <w:pStyle w:val="BodyText"/>
      </w:pPr>
      <w:r>
        <w:t xml:space="preserve">White, C. (2006). Distance learning of foreign languages.</w:t>
      </w:r>
      <w:r>
        <w:t xml:space="preserve"> </w:t>
      </w:r>
      <w:r>
        <w:rPr>
          <w:iCs/>
          <w:i/>
        </w:rPr>
        <w:t xml:space="preserve">Language Teaching, 39</w:t>
      </w:r>
      <w:r>
        <w:t xml:space="preserve">(4), 247-264. https://doi.org/10.1017/S0261444806003727</w:t>
      </w:r>
    </w:p>
    <w:p>
      <w:pPr>
        <w:pStyle w:val="BodyText"/>
      </w:pPr>
      <w:r>
        <w:t xml:space="preserve">Xu, B. (2024). Technology integration into Chinese as a foreign language learning in higher education: An integrated bibliometric analysis and systematic review (2000–2024).</w:t>
      </w:r>
      <w:r>
        <w:t xml:space="preserve"> </w:t>
      </w:r>
      <w:r>
        <w:rPr>
          <w:iCs/>
          <w:i/>
        </w:rPr>
        <w:t xml:space="preserve">Language Teaching Research</w:t>
      </w:r>
      <w:r>
        <w:t xml:space="preserve">. Advance online publication. https://doi.org/10.1177/13621688241277911</w:t>
      </w:r>
    </w:p>
    <w:p>
      <w:pPr>
        <w:pStyle w:val="BodyText"/>
      </w:pPr>
      <w:r>
        <w:t xml:space="preserve">Xu, Y., Jin, L., Deifell, E., &amp; Angus, K. (2022). Facilitating technology-based character learning in emergency remote teaching.</w:t>
      </w:r>
      <w:r>
        <w:t xml:space="preserve"> </w:t>
      </w:r>
      <w:r>
        <w:rPr>
          <w:iCs/>
          <w:i/>
        </w:rPr>
        <w:t xml:space="preserve">Foreign Language Annals, 55</w:t>
      </w:r>
      <w:r>
        <w:t xml:space="preserve">(1), 72-97. https://doi.org/10.1111/flan.12541</w:t>
      </w:r>
    </w:p>
    <w:p>
      <w:pPr>
        <w:pStyle w:val="BodyText"/>
      </w:pPr>
      <w:r>
        <w:t xml:space="preserve">Yu, L., &amp; Xu, L. (2022). Research on the online learning experience of South Asian students during COVID-19: The mediating effect of online learning status on autonomous learning and learning effect evaluation.</w:t>
      </w:r>
      <w:r>
        <w:t xml:space="preserve"> </w:t>
      </w:r>
      <w:r>
        <w:rPr>
          <w:iCs/>
          <w:i/>
        </w:rPr>
        <w:t xml:space="preserve">Journal of International Students, 12</w:t>
      </w:r>
      <w:r>
        <w:t xml:space="preserve">(S1), 45-60. https://doi.org/10.32674/jis.v12iS1.4607</w:t>
      </w:r>
    </w:p>
    <w:p>
      <w:pPr>
        <w:pStyle w:val="BodyText"/>
      </w:pPr>
      <w:r>
        <w:t xml:space="preserve">Zhang, M., &amp; Liu, Q. (2023). Synchronous and asynchronous online collaborative writing: A study on Chinese language learners.</w:t>
      </w:r>
      <w:r>
        <w:t xml:space="preserve"> </w:t>
      </w:r>
      <w:r>
        <w:rPr>
          <w:iCs/>
          <w:i/>
        </w:rPr>
        <w:t xml:space="preserve">Foreign Language Annals, 56</w:t>
      </w:r>
      <w:r>
        <w:t xml:space="preserve">(3), 740-763. https://doi.org/10.1111/flan.12704</w:t>
      </w:r>
    </w:p>
    <w:p>
      <w:pPr>
        <w:pStyle w:val="BodyText"/>
      </w:pPr>
      <w:r>
        <w:t xml:space="preserve">Zhang, Q., &amp; Osborne, C. (2026). Readiness for digital transformation in Chinese as a foreign language education: A semi-systematic review.</w:t>
      </w:r>
      <w:r>
        <w:t xml:space="preserve"> </w:t>
      </w:r>
      <w:r>
        <w:rPr>
          <w:iCs/>
          <w:i/>
        </w:rPr>
        <w:t xml:space="preserve">Chinese as a Second Language Research, 15</w:t>
      </w:r>
      <w:r>
        <w:t xml:space="preserve">(1), 11-43. https://doi.org/10.1515/caslar-2026-2002</w:t>
      </w:r>
    </w:p>
    <w:p>
      <w:pPr>
        <w:pStyle w:val="BodyText"/>
      </w:pPr>
      <w:r>
        <w:t xml:space="preserve">Zhang, W., Wang, Y., Yang, L., &amp; Wang, C. (2020). Suspending classes without stopping learning: China’s education emergency management policy in the COVID-19 outbreak.</w:t>
      </w:r>
      <w:r>
        <w:t xml:space="preserve"> </w:t>
      </w:r>
      <w:r>
        <w:rPr>
          <w:iCs/>
          <w:i/>
        </w:rPr>
        <w:t xml:space="preserve">Journal of Risk and Financial Management, 13</w:t>
      </w:r>
      <w:r>
        <w:t xml:space="preserve">(3), 55. https://doi.org/10.3390/jrfm13030055</w:t>
      </w:r>
    </w:p>
    <w:bookmarkEnd w:id="47"/>
    <w:bookmarkEnd w:id="48"/>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2026-08-24T06:00:40Z</dcterms:created>
  <dcterms:modified xsi:type="dcterms:W3CDTF">2026-08-24T06:00:40Z</dcterms:modified>
</cp:coreProperties>
</file>

<file path=docProps/custom.xml><?xml version="1.0" encoding="utf-8"?>
<Properties xmlns="http://schemas.openxmlformats.org/officeDocument/2006/custom-properties" xmlns:vt="http://schemas.openxmlformats.org/officeDocument/2006/docPropsVTypes"/>
</file>