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6211C"/>
          <w:sz w:val="40"/>
          <w:szCs w:val="40"/>
        </w:rPr>
        <w:t xml:space="preserve">Maria Nicole G. Nate</w:t>
      </w:r>
    </w:p>
    <w:p>
      <w:pPr>
        <w:spacing w:after="300"/>
      </w:pPr>
      <w:r>
        <w:rPr>
          <w:b/>
          <w:bCs/>
          <w:color w:val="1D9E75"/>
          <w:sz w:val="22"/>
          <w:szCs w:val="22"/>
        </w:rPr>
        <w:t xml:space="preserve">Digital Advertising &amp; Ad Operations Support</w:t>
      </w: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b/>
          <w:bCs/>
          <w:color w:val="26211C"/>
          <w:sz w:val="26"/>
          <w:szCs w:val="26"/>
        </w:rPr>
        <w:t xml:space="preserve">Role case study: Technical Ad Support</w:t>
      </w:r>
    </w:p>
    <w:p>
      <w:pPr>
        <w:spacing w:after="140" w:before="60"/>
      </w:pPr>
      <w:r>
        <w:rPr>
          <w:i/>
          <w:iCs/>
          <w:color w:val="5F5E5A"/>
          <w:sz w:val="20"/>
          <w:szCs w:val="20"/>
        </w:rPr>
        <w:t xml:space="preserve">TDCX · January 2026 – August 2026</w:t>
      </w:r>
    </w:p>
    <w:p>
      <w:pPr>
        <w:spacing w:after="120"/>
      </w:pPr>
      <w:r>
        <w:rPr>
          <w:color w:val="26211C"/>
          <w:sz w:val="21"/>
          <w:szCs w:val="21"/>
        </w:rPr>
        <w:t xml:space="preserve">As Technical Ad Support, I served as the frontline point of contact between advertisers and the platform, resolving issues across campaign approvals, account standing, and billing — while also acting as Scheduling Lead for a team of Marketing Experts.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FF8F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D9E75"/>
                <w:sz w:val="30"/>
                <w:szCs w:val="30"/>
              </w:rPr>
              <w:t xml:space="preserve">3</w:t>
            </w:r>
          </w:p>
          <w:p>
            <w:pPr>
              <w:jc w:val="center"/>
            </w:pPr>
            <w:r>
              <w:rPr>
                <w:color w:val="5F5E5A"/>
                <w:sz w:val="17"/>
                <w:szCs w:val="17"/>
              </w:rPr>
              <w:t xml:space="preserve">Core focus areas</w:t>
            </w:r>
          </w:p>
        </w:tc>
        <w:tc>
          <w:tcPr>
            <w:tcW w:type="dxa" w:w="3120"/>
            <w:shd w:fill="EFF8F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D9E75"/>
                <w:sz w:val="30"/>
                <w:szCs w:val="30"/>
              </w:rPr>
              <w:t xml:space="preserve">4+</w:t>
            </w:r>
          </w:p>
          <w:p>
            <w:pPr>
              <w:jc w:val="center"/>
            </w:pPr>
            <w:r>
              <w:rPr>
                <w:color w:val="5F5E5A"/>
                <w:sz w:val="17"/>
                <w:szCs w:val="17"/>
              </w:rPr>
              <w:t xml:space="preserve">Tools used daily</w:t>
            </w:r>
          </w:p>
        </w:tc>
        <w:tc>
          <w:tcPr>
            <w:tcW w:type="dxa" w:w="3120"/>
            <w:shd w:fill="EFF8F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D9E75"/>
                <w:sz w:val="30"/>
                <w:szCs w:val="30"/>
              </w:rPr>
              <w:t xml:space="preserve">Scheduling Lead</w:t>
            </w:r>
          </w:p>
          <w:p>
            <w:pPr>
              <w:jc w:val="center"/>
            </w:pPr>
            <w:r>
              <w:rPr>
                <w:color w:val="5F5E5A"/>
                <w:sz w:val="17"/>
                <w:szCs w:val="17"/>
              </w:rPr>
              <w:t xml:space="preserve">Cross-functional role</w:t>
            </w:r>
          </w:p>
        </w:tc>
      </w:tr>
    </w:tbl>
    <w:p>
      <w:pPr>
        <w:spacing w:before="260"/>
      </w:pPr>
    </w:p>
    <w:p>
      <w:pPr>
        <w:pStyle w:val="Heading2"/>
        <w:spacing w:after="120" w:before="100"/>
      </w:pPr>
      <w:r>
        <w:rPr>
          <w:b/>
          <w:bCs/>
          <w:color w:val="26211C"/>
          <w:sz w:val="23"/>
          <w:szCs w:val="23"/>
        </w:rPr>
        <w:t xml:space="preserve">What the role covered</w:t>
      </w:r>
    </w:p>
    <w:p>
      <w:pPr>
        <w:spacing w:after="120"/>
      </w:pPr>
      <w:r>
        <w:rPr>
          <w:color w:val="26211C"/>
          <w:sz w:val="21"/>
          <w:szCs w:val="21"/>
        </w:rPr>
        <w:t xml:space="preserve">Advertiser communication was handled through the company's internal advertiser-support ticketing platform, primarily across three recurring issue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11C"/>
          <w:sz w:val="21"/>
          <w:szCs w:val="21"/>
        </w:rPr>
        <w:t xml:space="preserve">Pending campaign reviews — investigating and explaining why a campaign was held (e.g. creative under policy review), and advising advertisers on next steps and timelines to resubmit.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11C"/>
          <w:sz w:val="21"/>
          <w:szCs w:val="21"/>
        </w:rPr>
        <w:t xml:space="preserve">Ad account suspensions — identifying the cause of a suspension (policy violations, billing flags, verification issues), and coordinating the path to appeal or reinstatement.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11C"/>
          <w:sz w:val="21"/>
          <w:szCs w:val="21"/>
        </w:rPr>
        <w:t xml:space="preserve">Billing issues — investigating discrepancies such as duplicate charges or invoice errors, and coordinating with internal finance/billing teams to resolve them.</w:t>
      </w:r>
    </w:p>
    <w:p>
      <w:pPr>
        <w:pStyle w:val="Heading2"/>
        <w:spacing w:after="120" w:before="220"/>
      </w:pPr>
      <w:r>
        <w:rPr>
          <w:b/>
          <w:bCs/>
          <w:color w:val="26211C"/>
          <w:sz w:val="23"/>
          <w:szCs w:val="23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11C"/>
          <w:sz w:val="21"/>
          <w:szCs w:val="21"/>
        </w:rPr>
        <w:t xml:space="preserve">Managed corporate social media accounts and targeted digital marketing campaigns to drive brand awareness, website traffic, and lead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11C"/>
          <w:sz w:val="21"/>
          <w:szCs w:val="21"/>
        </w:rPr>
        <w:t xml:space="preserve">Provided technical support for advertiser account management and served as Scheduling Lead, coordinating shift and workload scheduling for a team of Marketing Experts.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11C"/>
          <w:sz w:val="21"/>
          <w:szCs w:val="21"/>
        </w:rPr>
        <w:t xml:space="preserve">Used data-driven insights to recommend advertising solutions and optimize campaign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11C"/>
          <w:sz w:val="21"/>
          <w:szCs w:val="21"/>
        </w:rPr>
        <w:t xml:space="preserve">Communicated directly with advertisers to explain platform decisions clearly and move issues toward resolution.</w:t>
      </w:r>
    </w:p>
    <w:p>
      <w:pPr>
        <w:pStyle w:val="Heading2"/>
        <w:spacing w:after="120" w:before="220"/>
      </w:pPr>
      <w:r>
        <w:rPr>
          <w:b/>
          <w:bCs/>
          <w:color w:val="26211C"/>
          <w:sz w:val="23"/>
          <w:szCs w:val="23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11C"/>
          <w:sz w:val="21"/>
          <w:szCs w:val="21"/>
        </w:rPr>
        <w:t xml:space="preserve">Smartsheet — scheduling and workload coordination for the Marketing Experts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11C"/>
          <w:sz w:val="21"/>
          <w:szCs w:val="21"/>
        </w:rPr>
        <w:t xml:space="preserve">AdsWizz — ad campaign and inventory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11C"/>
          <w:sz w:val="21"/>
          <w:szCs w:val="21"/>
        </w:rPr>
        <w:t xml:space="preserve">Domo — performance reporting and data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11C"/>
          <w:sz w:val="21"/>
          <w:szCs w:val="21"/>
        </w:rPr>
        <w:t xml:space="preserve">Boostr — campaign and account operations tracking.</w:t>
      </w:r>
    </w:p>
    <w:p>
      <w:pPr>
        <w:pStyle w:val="Heading2"/>
        <w:spacing w:after="120" w:before="220"/>
      </w:pPr>
      <w:r>
        <w:rPr>
          <w:b/>
          <w:bCs/>
          <w:color w:val="26211C"/>
          <w:sz w:val="23"/>
          <w:szCs w:val="23"/>
        </w:rPr>
        <w:t xml:space="preserve">Illustrative example (anonymized)</w:t>
      </w:r>
    </w:p>
    <w:p>
      <w:pPr>
        <w:spacing w:after="120"/>
      </w:pPr>
      <w:r>
        <w:rPr>
          <w:color w:val="26211C"/>
          <w:sz w:val="21"/>
          <w:szCs w:val="21"/>
        </w:rPr>
        <w:t xml:space="preserve">The mockup below represents the type of interface and workflow used day to day — it is a generic illustration created for this portfolio, not a screenshot of the actual platform or of real advertiser data.</w:t>
      </w:r>
    </w:p>
    <w:p>
      <w:pPr>
        <w:spacing w:after="0" w:before="100"/>
        <w:jc w:val="center"/>
      </w:pPr>
      <w:r>
        <w:rPr>
          <w:i/>
          <w:iCs/>
          <w:color w:val="5F5E5A"/>
          <w:sz w:val="19"/>
          <w:szCs w:val="19"/>
        </w:rPr>
        <w:t xml:space="preserve">[ Insert dashboard mockup image here ]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2026-09-16T04:17:50.748Z</dcterms:created>
  <dcterms:modified xsi:type="dcterms:W3CDTF">2026-09-16T04:17:50.755Z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