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5ED1D2EF" w:rsidR="00084BD2" w:rsidRPr="00C85533" w:rsidRDefault="007F73E2" w:rsidP="00275CD3">
      <w:pPr>
        <w:pStyle w:val="AU"/>
        <w:spacing w:after="0"/>
        <w:rPr>
          <w:lang w:val="en-GB"/>
        </w:rPr>
      </w:pPr>
      <w:r w:rsidRPr="00C85533">
        <w:rPr>
          <w:lang w:val="en-GB"/>
        </w:rPr>
        <w:t>B</w:t>
      </w:r>
      <w:r w:rsidR="00FF2C76" w:rsidRPr="00C85533">
        <w:rPr>
          <w:lang w:val="en-GB"/>
        </w:rPr>
        <w:t>á</w:t>
      </w:r>
      <w:r w:rsidRPr="00C85533">
        <w:rPr>
          <w:lang w:val="en-GB"/>
        </w:rPr>
        <w:t>lint</w:t>
      </w:r>
      <w:r w:rsidR="00B024D9">
        <w:rPr>
          <w:lang w:val="en-GB"/>
        </w:rPr>
        <w:t xml:space="preserve"> </w:t>
      </w:r>
      <w:r w:rsidR="00B024D9" w:rsidRPr="00C85533">
        <w:rPr>
          <w:lang w:val="en-GB"/>
        </w:rPr>
        <w:t>Kovács</w:t>
      </w:r>
      <w:r w:rsidRPr="00C85533">
        <w:rPr>
          <w:lang w:val="en-GB"/>
        </w:rPr>
        <w:t xml:space="preserve">, </w:t>
      </w:r>
      <w:r w:rsidR="00275CD3" w:rsidRPr="00C85533">
        <w:rPr>
          <w:lang w:val="en-GB"/>
        </w:rPr>
        <w:t>Krist</w:t>
      </w:r>
      <w:r w:rsidR="00FF2C76" w:rsidRPr="00C85533">
        <w:rPr>
          <w:lang w:val="en-GB"/>
        </w:rPr>
        <w:t>ó</w:t>
      </w:r>
      <w:r w:rsidR="00275CD3" w:rsidRPr="00C85533">
        <w:rPr>
          <w:lang w:val="en-GB"/>
        </w:rPr>
        <w:t>f K</w:t>
      </w:r>
      <w:r w:rsidR="00FF2C76" w:rsidRPr="00C85533">
        <w:rPr>
          <w:lang w:val="en-GB"/>
        </w:rPr>
        <w:t>á</w:t>
      </w:r>
      <w:r w:rsidR="00275CD3" w:rsidRPr="00C85533">
        <w:rPr>
          <w:lang w:val="en-GB"/>
        </w:rPr>
        <w:t xml:space="preserve">ssa, </w:t>
      </w:r>
      <w:r w:rsidRPr="00C85533">
        <w:rPr>
          <w:lang w:val="en-GB"/>
        </w:rPr>
        <w:t>Najeed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17EEB75D" w:rsidR="007F73E2" w:rsidRPr="00C85533" w:rsidRDefault="007F73E2" w:rsidP="007F73E2">
      <w:pPr>
        <w:pStyle w:val="AU"/>
        <w:spacing w:after="0"/>
        <w:rPr>
          <w:lang w:val="en-GB"/>
        </w:rPr>
      </w:pPr>
      <w:r w:rsidRPr="00C85533">
        <w:rPr>
          <w:lang w:val="en-GB"/>
        </w:rPr>
        <w:t xml:space="preserve">Project advisor: Dr. Beáta Oborny, </w:t>
      </w:r>
      <w:r w:rsidR="00695345">
        <w:rPr>
          <w:lang w:val="en-GB"/>
        </w:rPr>
        <w:t xml:space="preserve">Associate </w:t>
      </w:r>
      <w:r w:rsidRPr="00C85533">
        <w:rPr>
          <w:lang w:val="en-GB"/>
        </w:rPr>
        <w:t>Professor</w:t>
      </w:r>
    </w:p>
    <w:p w14:paraId="1D4EB2F0" w14:textId="7CF214C3" w:rsidR="007F73E2" w:rsidRPr="00C85533" w:rsidRDefault="007F73E2" w:rsidP="005C261D">
      <w:pPr>
        <w:pStyle w:val="FootnoteText"/>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Eötvös Loránd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Paragraph"/>
        <w:ind w:left="360"/>
        <w:jc w:val="both"/>
        <w:rPr>
          <w:sz w:val="20"/>
          <w:lang w:val="en-GB"/>
        </w:rPr>
      </w:pPr>
      <w:r w:rsidRPr="00C85533">
        <w:rPr>
          <w:spacing w:val="2"/>
          <w:sz w:val="20"/>
          <w:lang w:val="en-GB"/>
        </w:rPr>
        <w:t xml:space="preserve">Several studies have investigated the transition from connected to fragmented vegetation across environmental gradients and scaling laws in ecotone geometry (Gastner et al., 2009). Recent research has also suggested that percolation theory predicts some universal features in range margins across environmental gradients (Juhász &amp; Oborny,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4042E190" w14:textId="77777777" w:rsidR="002D6F00"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C85533"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w:t>
      </w:r>
      <w:r>
        <w:rPr>
          <w:rFonts w:ascii="Times New Roman" w:hAnsi="Times New Roman" w:cs="Times New Roman"/>
          <w:b w:val="0"/>
          <w:iCs/>
          <w:color w:val="000000" w:themeColor="text1"/>
          <w:sz w:val="20"/>
          <w:lang w:val="en-GB"/>
        </w:rPr>
        <w:t>-</w:t>
      </w:r>
      <w:r w:rsidRPr="0054249D">
        <w:rPr>
          <w:rFonts w:ascii="Times New Roman" w:hAnsi="Times New Roman" w:cs="Times New Roman"/>
          <w:b w:val="0"/>
          <w:iCs/>
          <w:color w:val="000000" w:themeColor="text1"/>
          <w:sz w:val="20"/>
          <w:lang w:val="en-GB"/>
        </w:rPr>
        <w:t>size effect</w:t>
      </w:r>
      <w:r w:rsidRPr="0054249D">
        <w:rPr>
          <w:rFonts w:ascii="Times New Roman" w:hAnsi="Times New Roman" w:cs="Times New Roman"/>
          <w:b w:val="0"/>
          <w:i w:val="0"/>
          <w:color w:val="000000" w:themeColor="text1"/>
          <w:sz w:val="20"/>
          <w:lang w:val="en-GB"/>
        </w:rPr>
        <w:t xml:space="preserve"> in analysing tree species distribution on a bounded square lattice refers to the </w:t>
      </w:r>
      <w:r w:rsidRPr="0054249D">
        <w:rPr>
          <w:rFonts w:ascii="Times New Roman" w:hAnsi="Times New Roman" w:cs="Times New Roman"/>
          <w:b w:val="0"/>
          <w:i w:val="0"/>
          <w:color w:val="000000" w:themeColor="text1"/>
          <w:sz w:val="20"/>
          <w:lang w:val="en-GB"/>
        </w:rPr>
        <w:lastRenderedPageBreak/>
        <w:t xml:space="preserve">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 xml:space="preserve">oroidal boundary conditions are employed to mitigate these effects and simulate an infinite lattice. Understanding the finite size effect is vital for </w:t>
      </w:r>
      <w:r>
        <w:rPr>
          <w:rFonts w:ascii="Times New Roman" w:hAnsi="Times New Roman" w:cs="Times New Roman"/>
          <w:b w:val="0"/>
          <w:i w:val="0"/>
          <w:color w:val="000000" w:themeColor="text1"/>
          <w:sz w:val="20"/>
          <w:lang w:val="en-GB"/>
        </w:rPr>
        <w:t xml:space="preserve">the </w:t>
      </w:r>
      <w:r w:rsidRPr="0054249D">
        <w:rPr>
          <w:rFonts w:ascii="Times New Roman" w:hAnsi="Times New Roman" w:cs="Times New Roman"/>
          <w:b w:val="0"/>
          <w:i w:val="0"/>
          <w:color w:val="000000" w:themeColor="text1"/>
          <w:sz w:val="20"/>
          <w:lang w:val="en-GB"/>
        </w:rPr>
        <w:t>accurate interpretation of results.</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39B34F1F" w:rsidR="009A62B8" w:rsidRPr="00C85533" w:rsidRDefault="009A62B8" w:rsidP="009A62B8">
      <w:pPr>
        <w:pStyle w:val="H2First"/>
        <w:numPr>
          <w:ilvl w:val="1"/>
          <w:numId w:val="14"/>
        </w:numPr>
        <w:rPr>
          <w:lang w:val="en-GB"/>
        </w:rPr>
      </w:pPr>
      <w:r w:rsidRPr="00C85533">
        <w:rPr>
          <w:lang w:val="en-GB"/>
        </w:rPr>
        <w:t>Software design(?)</w:t>
      </w:r>
    </w:p>
    <w:p w14:paraId="2EEF2AAF" w14:textId="7B0A4BBA"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B024D9"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B024D9">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B024D9"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columns</w:t>
      </w:r>
      <w:r w:rsidR="0000321F" w:rsidRPr="00B024D9">
        <w:rPr>
          <w:rFonts w:ascii="Times New Roman" w:hAnsi="Times New Roman" w:cs="Times New Roman"/>
          <w:b w:val="0"/>
          <w:i w:val="0"/>
          <w:color w:val="000000" w:themeColor="text1"/>
          <w:spacing w:val="2"/>
          <w:sz w:val="20"/>
          <w:szCs w:val="20"/>
          <w:lang w:val="en-GB"/>
        </w:rPr>
        <w:t xml:space="preserve"> </w:t>
      </w:r>
      <w:r w:rsidR="0000321F" w:rsidRPr="00B024D9">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B024D9">
        <w:rPr>
          <w:rFonts w:ascii="Times New Roman" w:hAnsi="Times New Roman" w:cs="Times New Roman"/>
          <w:b w:val="0"/>
          <w:i w:val="0"/>
          <w:color w:val="000000" w:themeColor="text1"/>
          <w:spacing w:val="2"/>
          <w:sz w:val="20"/>
          <w:szCs w:val="20"/>
          <w:lang w:val="en-GB"/>
        </w:rPr>
        <w:t>)</w:t>
      </w:r>
      <w:r w:rsidRPr="00B024D9">
        <w:rPr>
          <w:rFonts w:ascii="Times New Roman" w:hAnsi="Times New Roman" w:cs="Times New Roman"/>
          <w:b w:val="0"/>
          <w:i w:val="0"/>
          <w:color w:val="000000" w:themeColor="text1"/>
          <w:spacing w:val="2"/>
          <w:sz w:val="20"/>
          <w:szCs w:val="20"/>
          <w:lang w:val="en-GB"/>
        </w:rPr>
        <w:t xml:space="preserve">, representing the discrete sampling units within the study area. Each lattice point </w:t>
      </w:r>
      <w:r w:rsidRPr="00B024D9">
        <w:rPr>
          <w:rFonts w:ascii="Times New Roman" w:hAnsi="Times New Roman" w:cs="Times New Roman"/>
          <w:b w:val="0"/>
          <w:i w:val="0"/>
          <w:color w:val="000000" w:themeColor="text1"/>
          <w:spacing w:val="2"/>
          <w:sz w:val="20"/>
          <w:szCs w:val="20"/>
          <w:lang w:val="en-GB"/>
        </w:rPr>
        <w:t>corresponds to a sampling unit where a tree species can be observed or recorded.</w:t>
      </w:r>
    </w:p>
    <w:p w14:paraId="09374AB5" w14:textId="06E5F42E" w:rsidR="006D1BCC" w:rsidRPr="00B024D9"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model begins by randomly assigning </w:t>
      </w:r>
      <w:r w:rsidRPr="00B024D9">
        <w:rPr>
          <w:rFonts w:ascii="Times New Roman" w:hAnsi="Times New Roman" w:cs="Times New Roman"/>
          <w:b w:val="0"/>
          <w:i w:val="0"/>
          <w:color w:val="auto"/>
          <w:spacing w:val="2"/>
          <w:sz w:val="20"/>
          <w:szCs w:val="20"/>
          <w:lang w:val="en-GB"/>
        </w:rPr>
        <w:t>1%</w:t>
      </w:r>
      <w:r w:rsidRPr="00B024D9">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B024D9">
        <w:rPr>
          <w:rFonts w:ascii="Times New Roman" w:hAnsi="Times New Roman" w:cs="Times New Roman"/>
          <w:b w:val="0"/>
          <w:i w:val="0"/>
          <w:color w:val="000000" w:themeColor="text1"/>
          <w:spacing w:val="2"/>
          <w:sz w:val="20"/>
          <w:szCs w:val="20"/>
          <w:lang w:val="en-GB"/>
        </w:rPr>
        <w:t>ly on</w:t>
      </w:r>
      <w:r w:rsidRPr="00B024D9">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B024D9">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B024D9">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For a comprehensive analysis of tree species spatial patterns,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lastRenderedPageBreak/>
        <w:t>Homogeneous Contact Process</w:t>
      </w:r>
    </w:p>
    <w:p w14:paraId="628F3F19" w14:textId="357F2171"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1E18D58"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w:t>
      </w:r>
      <w:r w:rsidRPr="00B024D9">
        <w:rPr>
          <w:rFonts w:ascii="Times New Roman" w:hAnsi="Times New Roman" w:cs="Times New Roman"/>
          <w:b w:val="0"/>
          <w:i w:val="0"/>
          <w:color w:val="000000" w:themeColor="text1"/>
          <w:sz w:val="20"/>
          <w:lang w:val="en-GB"/>
        </w:rPr>
        <w:t xml:space="preserve">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z w:val="20"/>
          <w:lang w:val="en-GB"/>
        </w:rPr>
        <w:t xml:space="preserve"> random lattice cell</w:t>
      </w:r>
      <w:r w:rsidR="00184A91" w:rsidRPr="00B024D9">
        <w:rPr>
          <w:rFonts w:ascii="Times New Roman" w:hAnsi="Times New Roman" w:cs="Times New Roman"/>
          <w:b w:val="0"/>
          <w:i w:val="0"/>
          <w:color w:val="000000" w:themeColor="text1"/>
          <w:sz w:val="20"/>
          <w:lang w:val="en-GB"/>
        </w:rPr>
        <w:t>s</w:t>
      </w:r>
      <w:r w:rsidRPr="00B024D9">
        <w:rPr>
          <w:rFonts w:ascii="Times New Roman" w:hAnsi="Times New Roman" w:cs="Times New Roman"/>
          <w:b w:val="0"/>
          <w:i w:val="0"/>
          <w:color w:val="000000" w:themeColor="text1"/>
          <w:sz w:val="20"/>
          <w:lang w:val="en-GB"/>
        </w:rPr>
        <w:t xml:space="preserve"> </w:t>
      </w:r>
      <w:r w:rsidR="00184A91" w:rsidRPr="00B024D9">
        <w:rPr>
          <w:rFonts w:ascii="Times New Roman" w:hAnsi="Times New Roman" w:cs="Times New Roman"/>
          <w:b w:val="0"/>
          <w:i w:val="0"/>
          <w:color w:val="000000" w:themeColor="text1"/>
          <w:sz w:val="20"/>
          <w:lang w:val="en-GB"/>
        </w:rPr>
        <w:t>are</w:t>
      </w:r>
      <w:r w:rsidRPr="00B024D9">
        <w:rPr>
          <w:rFonts w:ascii="Times New Roman" w:hAnsi="Times New Roman" w:cs="Times New Roman"/>
          <w:b w:val="0"/>
          <w:i w:val="0"/>
          <w:color w:val="000000" w:themeColor="text1"/>
          <w:sz w:val="20"/>
          <w:lang w:val="en-GB"/>
        </w:rPr>
        <w:t xml:space="preserve"> uniformly selected</w:t>
      </w:r>
      <w:r w:rsidR="00184A91" w:rsidRPr="00B024D9">
        <w:rPr>
          <w:rFonts w:ascii="Times New Roman" w:hAnsi="Times New Roman" w:cs="Times New Roman"/>
          <w:b w:val="0"/>
          <w:i w:val="0"/>
          <w:color w:val="000000" w:themeColor="text1"/>
          <w:sz w:val="20"/>
          <w:lang w:val="en-GB"/>
        </w:rPr>
        <w:t>, one after the other,</w:t>
      </w:r>
      <w:r w:rsidRPr="00B024D9">
        <w:rPr>
          <w:rFonts w:ascii="Times New Roman" w:hAnsi="Times New Roman" w:cs="Times New Roman"/>
          <w:b w:val="0"/>
          <w:i w:val="0"/>
          <w:color w:val="000000" w:themeColor="text1"/>
          <w:sz w:val="20"/>
          <w:lang w:val="en-GB"/>
        </w:rPr>
        <w:t xml:space="preserve"> for updating. If the selected cell is already occupied, </w:t>
      </w:r>
      <w:r w:rsidR="00184A91" w:rsidRPr="00B024D9">
        <w:rPr>
          <w:rFonts w:ascii="Times New Roman" w:hAnsi="Times New Roman" w:cs="Times New Roman"/>
          <w:b w:val="0"/>
          <w:i w:val="0"/>
          <w:color w:val="000000" w:themeColor="text1"/>
          <w:spacing w:val="2"/>
          <w:sz w:val="20"/>
          <w:szCs w:val="20"/>
          <w:lang w:val="en-GB"/>
        </w:rPr>
        <w:t>it has a probability</w:t>
      </w:r>
      <w:r w:rsidR="00184A91" w:rsidRPr="00B024D9">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B024D9">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B024D9">
        <w:rPr>
          <w:rFonts w:ascii="Times New Roman" w:hAnsi="Times New Roman" w:cs="Times New Roman"/>
          <w:b w:val="0"/>
          <w:i w:val="0"/>
          <w:color w:val="000000" w:themeColor="text1"/>
          <w:sz w:val="20"/>
          <w:lang w:val="en-GB"/>
        </w:rPr>
        <w:t xml:space="preserve">. However, if the </w:t>
      </w:r>
      <w:r w:rsidRPr="00B024D9">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B024D9">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m:t>
            </m:r>
            <m:r>
              <m:rPr>
                <m:sty m:val="bi"/>
              </m:rPr>
              <w:rPr>
                <w:rFonts w:ascii="Cambria Math" w:hAnsi="Cambria Math" w:cs="Times New Roman"/>
                <w:color w:val="000000" w:themeColor="text1"/>
                <w:sz w:val="20"/>
              </w:rPr>
              <m:t>;</m:t>
            </m:r>
            <m:r>
              <m:rPr>
                <m:sty m:val="bi"/>
              </m:rP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 cells</w:t>
      </w:r>
      <w:r w:rsidR="00184A91">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Pr>
          <w:rFonts w:ascii="Times New Roman" w:hAnsi="Times New Roman" w:cs="Times New Roman"/>
          <w:b w:val="0"/>
          <w:i w:val="0"/>
          <w:color w:val="000000" w:themeColor="text1"/>
          <w:sz w:val="20"/>
          <w:lang w:val="en-GB"/>
        </w:rPr>
        <w:t>belonging</w:t>
      </w:r>
      <w:r w:rsidR="00184A91">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71B64E95" w14:textId="528DC70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Pr>
          <w:rFonts w:ascii="Times New Roman" w:hAnsi="Times New Roman" w:cs="Times New Roman"/>
          <w:b w:val="0"/>
          <w:i w:val="0"/>
          <w:color w:val="000000" w:themeColor="text1"/>
          <w:sz w:val="20"/>
          <w:lang w:val="en-GB"/>
        </w:rPr>
        <w:t xml:space="preserve">at </w:t>
      </w:r>
      <w:r w:rsidRPr="00C85533">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xml:space="preserve">, effectively connecting the </w:t>
      </w:r>
      <w:r w:rsidR="009B7A3B" w:rsidRPr="00C85533">
        <w:rPr>
          <w:rFonts w:ascii="Times New Roman" w:hAnsi="Times New Roman" w:cs="Times New Roman"/>
          <w:b w:val="0"/>
          <w:i w:val="0"/>
          <w:color w:val="000000" w:themeColor="text1"/>
          <w:sz w:val="20"/>
          <w:lang w:val="en-GB"/>
        </w:rPr>
        <w:t>lattice,</w:t>
      </w:r>
      <w:r w:rsidRPr="00C85533">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w:t>
      </w:r>
      <w:r w:rsidRPr="00C85533">
        <w:rPr>
          <w:rFonts w:ascii="Times New Roman" w:hAnsi="Times New Roman" w:cs="Times New Roman"/>
          <w:b w:val="0"/>
          <w:i w:val="0"/>
          <w:color w:val="000000" w:themeColor="text1"/>
          <w:sz w:val="20"/>
          <w:lang w:val="en-GB"/>
        </w:rPr>
        <w:t>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26D2AF4E" w14:textId="7985D916" w:rsidR="009B7A3B"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We also</w:t>
      </w:r>
      <w:r w:rsidRPr="009B7A3B">
        <w:rPr>
          <w:rFonts w:ascii="Times New Roman" w:hAnsi="Times New Roman" w:cs="Times New Roman"/>
          <w:b w:val="0"/>
          <w:i w:val="0"/>
          <w:color w:val="000000" w:themeColor="text1"/>
          <w:spacing w:val="2"/>
          <w:sz w:val="20"/>
          <w:szCs w:val="20"/>
          <w:lang w:val="en-GB"/>
        </w:rPr>
        <w:t xml:space="preserve"> employ the gradient </w:t>
      </w:r>
      <w:r>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to study the spatial distribution of tree species on a bounded square lattice, considering the influence of a</w:t>
      </w:r>
      <w:r>
        <w:rPr>
          <w:rFonts w:ascii="Times New Roman" w:hAnsi="Times New Roman" w:cs="Times New Roman"/>
          <w:b w:val="0"/>
          <w:i w:val="0"/>
          <w:color w:val="000000" w:themeColor="text1"/>
          <w:spacing w:val="2"/>
          <w:sz w:val="20"/>
          <w:szCs w:val="20"/>
          <w:lang w:val="en-GB"/>
        </w:rPr>
        <w:t>n environmental</w:t>
      </w:r>
      <w:r w:rsidRPr="009B7A3B">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spatial</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gradient</w:t>
      </w:r>
      <w:r w:rsidR="00FD2D04">
        <w:rPr>
          <w:rFonts w:ascii="Times New Roman" w:hAnsi="Times New Roman" w:cs="Times New Roman"/>
          <w:b w:val="0"/>
          <w:i w:val="0"/>
          <w:color w:val="000000" w:themeColor="text1"/>
          <w:spacing w:val="2"/>
          <w:sz w:val="20"/>
          <w:szCs w:val="20"/>
          <w:lang w:val="en-GB"/>
        </w:rPr>
        <w:t xml:space="preserve">, e.g. </w:t>
      </w:r>
      <w:r w:rsidR="00FD2D04" w:rsidRPr="00FD2D04">
        <w:rPr>
          <w:rFonts w:ascii="Times New Roman" w:hAnsi="Times New Roman" w:cs="Times New Roman"/>
          <w:b w:val="0"/>
          <w:iCs/>
          <w:color w:val="000000" w:themeColor="text1"/>
          <w:spacing w:val="2"/>
          <w:sz w:val="20"/>
          <w:szCs w:val="20"/>
          <w:lang w:val="en-GB"/>
        </w:rPr>
        <w:t>altitude</w:t>
      </w:r>
      <w:r w:rsidR="00FD2D04">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F43253"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The gradient </w:t>
      </w:r>
      <w:r w:rsidR="00FD2D04">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w:t>
      </w:r>
      <w:r w:rsidRPr="00F43253">
        <w:rPr>
          <w:rFonts w:ascii="Times New Roman" w:hAnsi="Times New Roman" w:cs="Times New Roman"/>
          <w:b w:val="0"/>
          <w:i w:val="0"/>
          <w:color w:val="000000" w:themeColor="text1"/>
          <w:spacing w:val="2"/>
          <w:sz w:val="20"/>
          <w:szCs w:val="20"/>
          <w:lang w:val="en-GB"/>
        </w:rPr>
        <w:t xml:space="preserve">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43253">
        <w:rPr>
          <w:rFonts w:ascii="Times New Roman" w:hAnsi="Times New Roman" w:cs="Times New Roman"/>
          <w:b w:val="0"/>
          <w:i w:val="0"/>
          <w:color w:val="000000" w:themeColor="text1"/>
          <w:spacing w:val="2"/>
          <w:sz w:val="20"/>
          <w:szCs w:val="20"/>
          <w:lang w:val="en-GB"/>
        </w:rPr>
        <w:t xml:space="preserve">To begin, we </w:t>
      </w:r>
      <w:r w:rsidR="00FD2D04" w:rsidRPr="00F43253">
        <w:rPr>
          <w:rFonts w:ascii="Times New Roman" w:hAnsi="Times New Roman" w:cs="Times New Roman"/>
          <w:b w:val="0"/>
          <w:i w:val="0"/>
          <w:color w:val="000000" w:themeColor="text1"/>
          <w:spacing w:val="2"/>
          <w:sz w:val="20"/>
          <w:szCs w:val="20"/>
          <w:lang w:val="en-GB"/>
        </w:rPr>
        <w:t xml:space="preserve">again </w:t>
      </w:r>
      <w:r w:rsidRPr="00F43253">
        <w:rPr>
          <w:rFonts w:ascii="Times New Roman" w:hAnsi="Times New Roman" w:cs="Times New Roman"/>
          <w:b w:val="0"/>
          <w:i w:val="0"/>
          <w:color w:val="000000" w:themeColor="text1"/>
          <w:spacing w:val="2"/>
          <w:sz w:val="20"/>
          <w:szCs w:val="20"/>
          <w:lang w:val="en-GB"/>
        </w:rPr>
        <w:t>randomly assign 1% of the</w:t>
      </w:r>
      <w:r w:rsidRPr="009B7A3B">
        <w:rPr>
          <w:rFonts w:ascii="Times New Roman" w:hAnsi="Times New Roman" w:cs="Times New Roman"/>
          <w:b w:val="0"/>
          <w:i w:val="0"/>
          <w:color w:val="000000" w:themeColor="text1"/>
          <w:spacing w:val="2"/>
          <w:sz w:val="20"/>
          <w:szCs w:val="20"/>
          <w:lang w:val="en-GB"/>
        </w:rPr>
        <w:t xml:space="preserve"> lattice cells as occupied, representing the initial </w:t>
      </w:r>
      <w:r w:rsidRPr="00B024D9">
        <w:rPr>
          <w:rFonts w:ascii="Times New Roman" w:hAnsi="Times New Roman" w:cs="Times New Roman"/>
          <w:b w:val="0"/>
          <w:i w:val="0"/>
          <w:color w:val="000000" w:themeColor="text1"/>
          <w:spacing w:val="2"/>
          <w:sz w:val="20"/>
          <w:szCs w:val="20"/>
          <w:lang w:val="en-GB"/>
        </w:rPr>
        <w:t>presence of tree species. At each</w:t>
      </w:r>
      <w:r w:rsidR="00FD2D04" w:rsidRPr="00B024D9">
        <w:rPr>
          <w:rFonts w:ascii="Times New Roman" w:hAnsi="Times New Roman" w:cs="Times New Roman"/>
          <w:b w:val="0"/>
          <w:i w:val="0"/>
          <w:color w:val="000000" w:themeColor="text1"/>
          <w:spacing w:val="2"/>
          <w:sz w:val="20"/>
          <w:szCs w:val="20"/>
          <w:lang w:val="en-GB"/>
        </w:rPr>
        <w:t xml:space="preserve"> Monte Carlo</w:t>
      </w:r>
      <w:r w:rsidRPr="00B024D9">
        <w:rPr>
          <w:rFonts w:ascii="Times New Roman" w:hAnsi="Times New Roman" w:cs="Times New Roman"/>
          <w:b w:val="0"/>
          <w:i w:val="0"/>
          <w:color w:val="000000" w:themeColor="text1"/>
          <w:spacing w:val="2"/>
          <w:sz w:val="20"/>
          <w:szCs w:val="20"/>
          <w:lang w:val="en-GB"/>
        </w:rPr>
        <w:t xml:space="preserve"> step of the model,</w:t>
      </w:r>
      <w:r w:rsidR="00FD2D04" w:rsidRPr="00B024D9">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w:t>
      </w:r>
      <w:r w:rsidR="00FD2D04" w:rsidRPr="00B024D9">
        <w:rPr>
          <w:rFonts w:ascii="Times New Roman" w:hAnsi="Times New Roman" w:cs="Times New Roman"/>
          <w:b w:val="0"/>
          <w:i w:val="0"/>
          <w:color w:val="000000" w:themeColor="text1"/>
          <w:spacing w:val="2"/>
          <w:sz w:val="20"/>
          <w:szCs w:val="20"/>
          <w:lang w:val="en-GB"/>
        </w:rPr>
        <w:t>s</w:t>
      </w:r>
      <w:r w:rsidRPr="00B024D9">
        <w:rPr>
          <w:rFonts w:ascii="Times New Roman" w:hAnsi="Times New Roman" w:cs="Times New Roman"/>
          <w:b w:val="0"/>
          <w:i w:val="0"/>
          <w:color w:val="000000" w:themeColor="text1"/>
          <w:spacing w:val="2"/>
          <w:sz w:val="20"/>
          <w:szCs w:val="20"/>
          <w:lang w:val="en-GB"/>
        </w:rPr>
        <w:t xml:space="preserve"> </w:t>
      </w:r>
      <w:r w:rsidR="00FD2D04" w:rsidRPr="00B024D9">
        <w:rPr>
          <w:rFonts w:ascii="Times New Roman" w:hAnsi="Times New Roman" w:cs="Times New Roman"/>
          <w:b w:val="0"/>
          <w:i w:val="0"/>
          <w:color w:val="000000" w:themeColor="text1"/>
          <w:spacing w:val="2"/>
          <w:sz w:val="20"/>
          <w:szCs w:val="20"/>
          <w:lang w:val="en-GB"/>
        </w:rPr>
        <w:t>are</w:t>
      </w:r>
      <w:r w:rsidRPr="00B024D9">
        <w:rPr>
          <w:rFonts w:ascii="Times New Roman" w:hAnsi="Times New Roman" w:cs="Times New Roman"/>
          <w:b w:val="0"/>
          <w:i w:val="0"/>
          <w:color w:val="000000" w:themeColor="text1"/>
          <w:spacing w:val="2"/>
          <w:sz w:val="20"/>
          <w:szCs w:val="20"/>
          <w:lang w:val="en-GB"/>
        </w:rPr>
        <w:t xml:space="preserve"> uniformly selected</w:t>
      </w:r>
      <w:r w:rsidR="00FD2D04" w:rsidRPr="00B024D9">
        <w:rPr>
          <w:rFonts w:ascii="Times New Roman" w:hAnsi="Times New Roman" w:cs="Times New Roman"/>
          <w:b w:val="0"/>
          <w:i w:val="0"/>
          <w:color w:val="000000" w:themeColor="text1"/>
          <w:spacing w:val="2"/>
          <w:sz w:val="20"/>
          <w:szCs w:val="20"/>
          <w:lang w:val="en-GB"/>
        </w:rPr>
        <w:t>, one after the</w:t>
      </w:r>
      <w:r w:rsidR="00FD2D04">
        <w:rPr>
          <w:rFonts w:ascii="Times New Roman" w:hAnsi="Times New Roman" w:cs="Times New Roman"/>
          <w:b w:val="0"/>
          <w:i w:val="0"/>
          <w:color w:val="000000" w:themeColor="text1"/>
          <w:spacing w:val="2"/>
          <w:sz w:val="20"/>
          <w:szCs w:val="20"/>
          <w:lang w:val="en-GB"/>
        </w:rPr>
        <w:t xml:space="preserve"> other,</w:t>
      </w:r>
      <w:r w:rsidRPr="009B7A3B">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w:t>
      </w:r>
      <w:r w:rsidRPr="009B7A3B">
        <w:rPr>
          <w:rFonts w:ascii="Times New Roman" w:hAnsi="Times New Roman" w:cs="Times New Roman"/>
          <w:b w:val="0"/>
          <w:i w:val="0"/>
          <w:color w:val="000000" w:themeColor="text1"/>
          <w:spacing w:val="2"/>
          <w:sz w:val="20"/>
          <w:szCs w:val="20"/>
          <w:lang w:val="en-GB"/>
        </w:rPr>
        <w:lastRenderedPageBreak/>
        <w:t>probabilities.</w:t>
      </w:r>
      <w:r w:rsid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 xml:space="preserve">If the selected cell is already </w:t>
      </w:r>
      <w:r w:rsidRPr="00F43253">
        <w:rPr>
          <w:rFonts w:ascii="Times New Roman" w:hAnsi="Times New Roman" w:cs="Times New Roman"/>
          <w:b w:val="0"/>
          <w:i w:val="0"/>
          <w:color w:val="000000" w:themeColor="text1"/>
          <w:spacing w:val="2"/>
          <w:sz w:val="20"/>
          <w:szCs w:val="20"/>
          <w:lang w:val="en-GB"/>
        </w:rPr>
        <w:t xml:space="preserve">occupied, it </w:t>
      </w:r>
      <w:r w:rsidR="00FD2D04" w:rsidRPr="00F43253">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If</w:t>
      </w:r>
      <w:r w:rsidRPr="00F43253">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F43253">
        <w:rPr>
          <w:rFonts w:ascii="Times New Roman" w:hAnsi="Times New Roman" w:cs="Times New Roman"/>
          <w:b w:val="0"/>
          <w:i w:val="0"/>
          <w:color w:val="000000" w:themeColor="text1"/>
          <w:spacing w:val="2"/>
          <w:sz w:val="20"/>
          <w:szCs w:val="20"/>
          <w:lang w:val="en-GB"/>
        </w:rPr>
        <w:t xml:space="preserve"> </w:t>
      </w:r>
      <w:r w:rsidRPr="00F43253">
        <w:rPr>
          <w:rFonts w:ascii="Times New Roman" w:hAnsi="Times New Roman" w:cs="Times New Roman"/>
          <w:b w:val="0"/>
          <w:i w:val="0"/>
          <w:color w:val="000000" w:themeColor="text1"/>
          <w:spacing w:val="2"/>
          <w:sz w:val="20"/>
          <w:szCs w:val="20"/>
          <w:lang w:val="en-GB"/>
        </w:rPr>
        <w:t>represent the colonization</w:t>
      </w:r>
      <w:r w:rsidR="00FD2D04" w:rsidRPr="00F43253">
        <w:rPr>
          <w:rFonts w:ascii="Times New Roman" w:hAnsi="Times New Roman" w:cs="Times New Roman"/>
          <w:b w:val="0"/>
          <w:i w:val="0"/>
          <w:color w:val="000000" w:themeColor="text1"/>
          <w:spacing w:val="2"/>
          <w:sz w:val="20"/>
          <w:szCs w:val="20"/>
          <w:lang w:val="en-GB"/>
        </w:rPr>
        <w:t xml:space="preserve"> and extinction</w:t>
      </w:r>
      <w:r w:rsidRPr="00F43253">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The colonization probability is higher in areas</w:t>
      </w:r>
      <w:r w:rsidRPr="00FD2D04">
        <w:rPr>
          <w:rFonts w:ascii="Times New Roman" w:hAnsi="Times New Roman" w:cs="Times New Roman"/>
          <w:b w:val="0"/>
          <w:i w:val="0"/>
          <w:color w:val="000000" w:themeColor="text1"/>
          <w:spacing w:val="2"/>
          <w:sz w:val="20"/>
          <w:szCs w:val="20"/>
          <w:lang w:val="en-GB"/>
        </w:rPr>
        <w:t xml:space="preserve"> with more </w:t>
      </w:r>
      <w:r w:rsidR="00FD2D04" w:rsidRPr="00FD2D04">
        <w:rPr>
          <w:rFonts w:ascii="Times New Roman" w:hAnsi="Times New Roman" w:cs="Times New Roman"/>
          <w:b w:val="0"/>
          <w:i w:val="0"/>
          <w:color w:val="000000" w:themeColor="text1"/>
          <w:spacing w:val="2"/>
          <w:sz w:val="20"/>
          <w:szCs w:val="20"/>
          <w:lang w:val="en-GB"/>
        </w:rPr>
        <w:t>favourable</w:t>
      </w:r>
      <w:r w:rsidRPr="00FD2D04">
        <w:rPr>
          <w:rFonts w:ascii="Times New Roman" w:hAnsi="Times New Roman" w:cs="Times New Roman"/>
          <w:b w:val="0"/>
          <w:i w:val="0"/>
          <w:color w:val="000000" w:themeColor="text1"/>
          <w:spacing w:val="2"/>
          <w:sz w:val="20"/>
          <w:szCs w:val="20"/>
          <w:lang w:val="en-GB"/>
        </w:rPr>
        <w:t xml:space="preserve"> environmental conditions.</w:t>
      </w:r>
      <w:r w:rsidR="00FD2D04">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F43253"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D2D04">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Pr>
          <w:rFonts w:ascii="Times New Roman" w:hAnsi="Times New Roman" w:cs="Times New Roman"/>
          <w:b w:val="0"/>
          <w:i w:val="0"/>
          <w:color w:val="000000" w:themeColor="text1"/>
          <w:spacing w:val="2"/>
          <w:sz w:val="20"/>
          <w:szCs w:val="20"/>
          <w:lang w:val="en-GB"/>
        </w:rPr>
        <w:t>random map</w:t>
      </w:r>
      <w:r w:rsidRPr="00FD2D04">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w:t>
      </w:r>
      <w:r w:rsidRPr="00F43253">
        <w:rPr>
          <w:rFonts w:ascii="Times New Roman" w:hAnsi="Times New Roman" w:cs="Times New Roman"/>
          <w:b w:val="0"/>
          <w:i w:val="0"/>
          <w:color w:val="000000" w:themeColor="text1"/>
          <w:spacing w:val="2"/>
          <w:sz w:val="20"/>
          <w:szCs w:val="20"/>
          <w:lang w:val="en-GB"/>
        </w:rPr>
        <w:t xml:space="preserve">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3CE8"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 </w:t>
      </w:r>
      <w:r w:rsidR="009B7A3B" w:rsidRPr="00F43253">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F43253">
        <w:rPr>
          <w:rFonts w:ascii="Times New Roman" w:hAnsi="Times New Roman" w:cs="Times New Roman"/>
          <w:b w:val="0"/>
          <w:i w:val="0"/>
          <w:color w:val="000000" w:themeColor="text1"/>
          <w:spacing w:val="2"/>
          <w:sz w:val="20"/>
          <w:szCs w:val="20"/>
          <w:lang w:val="en-GB"/>
        </w:rPr>
        <w:t>random map</w:t>
      </w:r>
      <w:r w:rsidR="009B7A3B" w:rsidRPr="00F43253">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F43253">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F43253">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F43253">
        <w:rPr>
          <w:rFonts w:ascii="Times New Roman" w:hAnsi="Times New Roman" w:cs="Times New Roman"/>
          <w:b w:val="0"/>
          <w:i w:val="0"/>
          <w:color w:val="000000" w:themeColor="text1"/>
          <w:spacing w:val="2"/>
          <w:sz w:val="20"/>
          <w:szCs w:val="20"/>
          <w:lang w:val="en-GB"/>
        </w:rPr>
        <w:t>These functions should be carefully selected and validated based on ecological</w:t>
      </w:r>
      <w:r w:rsidR="005E3CE8">
        <w:rPr>
          <w:rFonts w:ascii="Times New Roman" w:hAnsi="Times New Roman" w:cs="Times New Roman"/>
          <w:b w:val="0"/>
          <w:i w:val="0"/>
          <w:color w:val="000000" w:themeColor="text1"/>
          <w:spacing w:val="2"/>
          <w:sz w:val="20"/>
          <w:szCs w:val="20"/>
          <w:lang w:val="en-GB"/>
        </w:rPr>
        <w:t xml:space="preserve"> knowledge and data availability.</w:t>
      </w:r>
    </w:p>
    <w:p w14:paraId="0FD9E7AB" w14:textId="4A9203FE" w:rsidR="009A62B8" w:rsidRPr="00C85533" w:rsidRDefault="009A62B8" w:rsidP="009B7A3B">
      <w:pPr>
        <w:pStyle w:val="H2First"/>
        <w:numPr>
          <w:ilvl w:val="2"/>
          <w:numId w:val="14"/>
        </w:numPr>
        <w:rPr>
          <w:lang w:val="en-GB"/>
        </w:rPr>
      </w:pPr>
      <w:r w:rsidRPr="00C85533">
        <w:rPr>
          <w:lang w:val="en-GB"/>
        </w:rPr>
        <w:t>Gradient Contact Process</w:t>
      </w:r>
    </w:p>
    <w:p w14:paraId="1BB9321B" w14:textId="2350ACA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Finally, we</w:t>
      </w:r>
      <w:r w:rsidRPr="00275B0A">
        <w:rPr>
          <w:rFonts w:ascii="Times New Roman" w:hAnsi="Times New Roman" w:cs="Times New Roman"/>
          <w:b w:val="0"/>
          <w:i w:val="0"/>
          <w:color w:val="000000" w:themeColor="text1"/>
          <w:spacing w:val="2"/>
          <w:sz w:val="20"/>
          <w:szCs w:val="20"/>
          <w:lang w:val="en-GB"/>
        </w:rPr>
        <w:t xml:space="preserv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 xml:space="preserve">also </w:t>
      </w:r>
      <w:r w:rsidRPr="00275B0A">
        <w:rPr>
          <w:rFonts w:ascii="Times New Roman" w:hAnsi="Times New Roman" w:cs="Times New Roman"/>
          <w:b w:val="0"/>
          <w:i w:val="0"/>
          <w:color w:val="000000" w:themeColor="text1"/>
          <w:spacing w:val="2"/>
          <w:sz w:val="20"/>
          <w:szCs w:val="20"/>
          <w:lang w:val="en-GB"/>
        </w:rPr>
        <w:t xml:space="preserve">become functions of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initiate the model, </w:t>
      </w:r>
      <w:r>
        <w:rPr>
          <w:rFonts w:ascii="Times New Roman" w:hAnsi="Times New Roman" w:cs="Times New Roman"/>
          <w:b w:val="0"/>
          <w:i w:val="0"/>
          <w:color w:val="000000" w:themeColor="text1"/>
          <w:spacing w:val="2"/>
          <w:sz w:val="20"/>
          <w:szCs w:val="20"/>
          <w:lang w:val="en-GB"/>
        </w:rPr>
        <w:t xml:space="preserve">as usual, </w:t>
      </w:r>
      <w:r w:rsidRPr="00275B0A">
        <w:rPr>
          <w:rFonts w:ascii="Times New Roman" w:hAnsi="Times New Roman" w:cs="Times New Roman"/>
          <w:b w:val="0"/>
          <w:i w:val="0"/>
          <w:color w:val="000000" w:themeColor="text1"/>
          <w:spacing w:val="2"/>
          <w:sz w:val="20"/>
          <w:szCs w:val="20"/>
          <w:lang w:val="en-GB"/>
        </w:rPr>
        <w:t>we randomly assign 1% of the lattice cells as occupied, representing the initial presence of tree species. At each</w:t>
      </w:r>
      <w:r>
        <w:rPr>
          <w:rFonts w:ascii="Times New Roman" w:hAnsi="Times New Roman" w:cs="Times New Roman"/>
          <w:b w:val="0"/>
          <w:i w:val="0"/>
          <w:color w:val="000000" w:themeColor="text1"/>
          <w:spacing w:val="2"/>
          <w:sz w:val="20"/>
          <w:szCs w:val="20"/>
          <w:lang w:val="en-GB"/>
        </w:rPr>
        <w:t xml:space="preserve"> Monte Carlo</w:t>
      </w:r>
      <w:r w:rsidRPr="00275B0A">
        <w:rPr>
          <w:rFonts w:ascii="Times New Roman" w:hAnsi="Times New Roman" w:cs="Times New Roman"/>
          <w:b w:val="0"/>
          <w:i w:val="0"/>
          <w:color w:val="000000" w:themeColor="text1"/>
          <w:spacing w:val="2"/>
          <w:sz w:val="20"/>
          <w:szCs w:val="20"/>
          <w:lang w:val="en-GB"/>
        </w:rPr>
        <w:t xml:space="preserve">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random lattice cell</w:t>
      </w:r>
      <w:r>
        <w:rPr>
          <w:rFonts w:ascii="Times New Roman" w:hAnsi="Times New Roman" w:cs="Times New Roman"/>
          <w:b w:val="0"/>
          <w:i w:val="0"/>
          <w:color w:val="000000" w:themeColor="text1"/>
          <w:spacing w:val="2"/>
          <w:sz w:val="20"/>
          <w:szCs w:val="20"/>
          <w:lang w:val="en-GB"/>
        </w:rPr>
        <w:t>s</w:t>
      </w:r>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are</w:t>
      </w:r>
      <w:r w:rsidRPr="00275B0A">
        <w:rPr>
          <w:rFonts w:ascii="Times New Roman" w:hAnsi="Times New Roman" w:cs="Times New Roman"/>
          <w:b w:val="0"/>
          <w:i w:val="0"/>
          <w:color w:val="000000" w:themeColor="text1"/>
          <w:spacing w:val="2"/>
          <w:sz w:val="20"/>
          <w:szCs w:val="20"/>
          <w:lang w:val="en-GB"/>
        </w:rPr>
        <w:t xml:space="preserve"> uniformly selected</w:t>
      </w:r>
      <w:r>
        <w:rPr>
          <w:rFonts w:ascii="Times New Roman" w:hAnsi="Times New Roman" w:cs="Times New Roman"/>
          <w:b w:val="0"/>
          <w:i w:val="0"/>
          <w:color w:val="000000" w:themeColor="text1"/>
          <w:spacing w:val="2"/>
          <w:sz w:val="20"/>
          <w:szCs w:val="20"/>
          <w:lang w:val="en-GB"/>
        </w:rPr>
        <w:t>, one by one,</w:t>
      </w:r>
      <w:r w:rsidRPr="00275B0A">
        <w:rPr>
          <w:rFonts w:ascii="Times New Roman" w:hAnsi="Times New Roman" w:cs="Times New Roman"/>
          <w:b w:val="0"/>
          <w:i w:val="0"/>
          <w:color w:val="000000" w:themeColor="text1"/>
          <w:spacing w:val="2"/>
          <w:sz w:val="20"/>
          <w:szCs w:val="20"/>
          <w:lang w:val="en-GB"/>
        </w:rPr>
        <w:t xml:space="preserve"> for updating, </w:t>
      </w:r>
      <w:r w:rsidRPr="00275B0A">
        <w:rPr>
          <w:rFonts w:ascii="Times New Roman" w:hAnsi="Times New Roman" w:cs="Times New Roman"/>
          <w:b w:val="0"/>
          <w:i w:val="0"/>
          <w:color w:val="000000" w:themeColor="text1"/>
          <w:spacing w:val="2"/>
          <w:sz w:val="20"/>
          <w:szCs w:val="20"/>
          <w:lang w:val="en-GB"/>
        </w:rPr>
        <w:t>considering the gradient-dependent colonization and extinction probabilities.</w:t>
      </w:r>
    </w:p>
    <w:p w14:paraId="09572BE2" w14:textId="1E626649"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If</w:t>
      </w:r>
      <w:r w:rsidRPr="00275B0A">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275B0A">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275B0A">
        <w:rPr>
          <w:rFonts w:ascii="Times New Roman" w:hAnsi="Times New Roman" w:cs="Times New Roman"/>
          <w:b w:val="0"/>
          <w:i w:val="0"/>
          <w:color w:val="000000" w:themeColor="text1"/>
          <w:spacing w:val="2"/>
          <w:sz w:val="20"/>
          <w:szCs w:val="20"/>
          <w:lang w:val="en-GB"/>
        </w:rPr>
        <w:t xml:space="preserve"> is the number of occupied </w:t>
      </w:r>
      <w:r>
        <w:rPr>
          <w:rFonts w:ascii="Times New Roman" w:hAnsi="Times New Roman" w:cs="Times New Roman"/>
          <w:b w:val="0"/>
          <w:i w:val="0"/>
          <w:color w:val="000000" w:themeColor="text1"/>
          <w:spacing w:val="2"/>
          <w:sz w:val="20"/>
          <w:szCs w:val="20"/>
          <w:lang w:val="en-GB"/>
        </w:rPr>
        <w:t>neighbouring</w:t>
      </w:r>
      <w:r w:rsidRPr="00275B0A">
        <w:rPr>
          <w:rFonts w:ascii="Times New Roman" w:hAnsi="Times New Roman" w:cs="Times New Roman"/>
          <w:b w:val="0"/>
          <w:i w:val="0"/>
          <w:color w:val="000000" w:themeColor="text1"/>
          <w:spacing w:val="2"/>
          <w:sz w:val="20"/>
          <w:szCs w:val="20"/>
          <w:lang w:val="en-GB"/>
        </w:rPr>
        <w:t xml:space="preserve"> cells. The colonization probability considers both the suitability of the local environment, as indicated by the gradient value at that location, and the presence of neighbouring occupied cells.</w:t>
      </w:r>
    </w:p>
    <w:p w14:paraId="2CB48D8E" w14:textId="0D0F1DD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On the other hand, if the selected cell is </w:t>
      </w:r>
      <w:r>
        <w:rPr>
          <w:rFonts w:ascii="Times New Roman" w:hAnsi="Times New Roman" w:cs="Times New Roman"/>
          <w:b w:val="0"/>
          <w:i w:val="0"/>
          <w:color w:val="000000" w:themeColor="text1"/>
          <w:spacing w:val="2"/>
          <w:sz w:val="20"/>
          <w:szCs w:val="20"/>
          <w:lang w:val="en-GB"/>
        </w:rPr>
        <w:t xml:space="preserve">already </w:t>
      </w:r>
      <w:r w:rsidRPr="00275B0A">
        <w:rPr>
          <w:rFonts w:ascii="Times New Roman" w:hAnsi="Times New Roman" w:cs="Times New Roman"/>
          <w:b w:val="0"/>
          <w:i w:val="0"/>
          <w:color w:val="000000" w:themeColor="text1"/>
          <w:spacing w:val="2"/>
          <w:sz w:val="20"/>
          <w:szCs w:val="20"/>
          <w:lang w:val="en-GB"/>
        </w:rPr>
        <w:t xml:space="preserve">occupied, it has a probability of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0B92680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tackle the </w:t>
      </w:r>
      <w:r w:rsidRPr="00275B0A">
        <w:rPr>
          <w:rFonts w:ascii="Times New Roman" w:hAnsi="Times New Roman" w:cs="Times New Roman"/>
          <w:b w:val="0"/>
          <w:iCs/>
          <w:color w:val="000000" w:themeColor="text1"/>
          <w:spacing w:val="2"/>
          <w:sz w:val="20"/>
          <w:szCs w:val="20"/>
          <w:lang w:val="en-GB"/>
        </w:rPr>
        <w:t>finite-size effect</w:t>
      </w:r>
      <w:r w:rsidRPr="00275B0A">
        <w:rPr>
          <w:rFonts w:ascii="Times New Roman" w:hAnsi="Times New Roman" w:cs="Times New Roman"/>
          <w:b w:val="0"/>
          <w:i w:val="0"/>
          <w:color w:val="000000" w:themeColor="text1"/>
          <w:spacing w:val="2"/>
          <w:sz w:val="20"/>
          <w:szCs w:val="20"/>
          <w:lang w:val="en-GB"/>
        </w:rPr>
        <w:t xml:space="preserve"> associated with the bounded lattice, </w:t>
      </w:r>
      <w:r>
        <w:rPr>
          <w:rFonts w:ascii="Times New Roman" w:hAnsi="Times New Roman" w:cs="Times New Roman"/>
          <w:b w:val="0"/>
          <w:i w:val="0"/>
          <w:color w:val="000000" w:themeColor="text1"/>
          <w:spacing w:val="2"/>
          <w:sz w:val="20"/>
          <w:szCs w:val="20"/>
          <w:lang w:val="en-GB"/>
        </w:rPr>
        <w:t xml:space="preserve">instead of the traditional toroidal  boundary, </w:t>
      </w:r>
      <w:r w:rsidRPr="00275B0A">
        <w:rPr>
          <w:rFonts w:ascii="Times New Roman" w:hAnsi="Times New Roman" w:cs="Times New Roman"/>
          <w:b w:val="0"/>
          <w:i w:val="0"/>
          <w:color w:val="000000" w:themeColor="text1"/>
          <w:spacing w:val="2"/>
          <w:sz w:val="20"/>
          <w:szCs w:val="20"/>
          <w:lang w:val="en-GB"/>
        </w:rPr>
        <w:t xml:space="preserve">we implement a </w:t>
      </w:r>
      <w:r w:rsidRPr="00275B0A">
        <w:rPr>
          <w:rFonts w:ascii="Times New Roman" w:hAnsi="Times New Roman" w:cs="Times New Roman"/>
          <w:b w:val="0"/>
          <w:iCs/>
          <w:color w:val="000000" w:themeColor="text1"/>
          <w:spacing w:val="2"/>
          <w:sz w:val="20"/>
          <w:szCs w:val="20"/>
          <w:lang w:val="en-GB"/>
        </w:rPr>
        <w:t>tube-like boundary</w:t>
      </w:r>
      <w:r w:rsidRPr="00275B0A">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275B0A">
        <w:rPr>
          <w:rFonts w:ascii="Times New Roman" w:hAnsi="Times New Roman" w:cs="Times New Roman"/>
          <w:b w:val="0"/>
          <w:iCs/>
          <w:color w:val="000000" w:themeColor="text1"/>
          <w:spacing w:val="2"/>
          <w:sz w:val="20"/>
          <w:szCs w:val="20"/>
          <w:lang w:val="en-GB"/>
        </w:rPr>
        <w:t>duplicate</w:t>
      </w:r>
      <w:r w:rsidRPr="00275B0A">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634DC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 However, it</w:t>
      </w:r>
      <w:r w:rsidR="00275B0A" w:rsidRPr="00275B0A">
        <w:rPr>
          <w:rFonts w:ascii="Times New Roman" w:hAnsi="Times New Roman" w:cs="Times New Roman"/>
          <w:b w:val="0"/>
          <w:i w:val="0"/>
          <w:color w:val="000000" w:themeColor="text1"/>
          <w:spacing w:val="2"/>
          <w:sz w:val="20"/>
          <w:szCs w:val="20"/>
          <w:lang w:val="en-GB"/>
        </w:rPr>
        <w:t xml:space="preserve"> is</w:t>
      </w:r>
      <w:r w:rsidR="00275B0A">
        <w:rPr>
          <w:rFonts w:ascii="Times New Roman" w:hAnsi="Times New Roman" w:cs="Times New Roman"/>
          <w:b w:val="0"/>
          <w:i w:val="0"/>
          <w:color w:val="000000" w:themeColor="text1"/>
          <w:spacing w:val="2"/>
          <w:sz w:val="20"/>
          <w:szCs w:val="20"/>
          <w:lang w:val="en-GB"/>
        </w:rPr>
        <w:t xml:space="preserve"> again</w:t>
      </w:r>
      <w:r w:rsidR="00275B0A" w:rsidRPr="00275B0A">
        <w:rPr>
          <w:rFonts w:ascii="Times New Roman" w:hAnsi="Times New Roman" w:cs="Times New Roman"/>
          <w:b w:val="0"/>
          <w:i w:val="0"/>
          <w:color w:val="000000" w:themeColor="text1"/>
          <w:spacing w:val="2"/>
          <w:sz w:val="20"/>
          <w:szCs w:val="20"/>
          <w:lang w:val="en-GB"/>
        </w:rPr>
        <w:t xml:space="preserve">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275B0A">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40485E13" w14:textId="6967EE78" w:rsidR="002D6F00"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lastRenderedPageBreak/>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73504E">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points along the horizontal </w:t>
      </w:r>
      <m:oMath>
        <m:r>
          <m:rPr>
            <m:sty m:val="bi"/>
          </m:rPr>
          <w:rPr>
            <w:rFonts w:ascii="Cambria Math" w:hAnsi="Cambria Math" w:cs="Times New Roman"/>
            <w:color w:val="000000" w:themeColor="text1"/>
            <w:sz w:val="20"/>
            <w:lang w:val="en-GB"/>
          </w:rPr>
          <m:t>x</m:t>
        </m:r>
      </m:oMath>
      <w:r w:rsidR="0073504E" w:rsidRPr="0073504E">
        <w:rPr>
          <w:rFonts w:ascii="Times New Roman" w:hAnsi="Times New Roman" w:cs="Times New Roman"/>
          <w:b w:val="0"/>
          <w:i w:val="0"/>
          <w:color w:val="000000" w:themeColor="text1"/>
          <w:sz w:val="20"/>
          <w:lang w:val="en-GB"/>
        </w:rPr>
        <w:t>-direction from sparse to full</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vegetation cover, this patch will span from the bottom to</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top of the lattice, a property that can be used</w:t>
      </w:r>
      <w:r w:rsidR="0073504E">
        <w:rPr>
          <w:rFonts w:ascii="Times New Roman" w:hAnsi="Times New Roman" w:cs="Times New Roman"/>
          <w:b w:val="0"/>
          <w:i w:val="0"/>
          <w:color w:val="000000" w:themeColor="text1"/>
          <w:sz w:val="20"/>
          <w:lang w:val="en-GB"/>
        </w:rPr>
        <w:t xml:space="preserve"> later </w:t>
      </w:r>
      <w:r w:rsidR="0073504E" w:rsidRPr="0073504E">
        <w:rPr>
          <w:rFonts w:ascii="Times New Roman" w:hAnsi="Times New Roman" w:cs="Times New Roman"/>
          <w:b w:val="0"/>
          <w:i w:val="0"/>
          <w:color w:val="000000" w:themeColor="text1"/>
          <w:sz w:val="20"/>
          <w:lang w:val="en-GB"/>
        </w:rPr>
        <w:t xml:space="preserve">in delineating the </w:t>
      </w:r>
      <w:r w:rsidR="0073504E">
        <w:rPr>
          <w:rFonts w:ascii="Times New Roman" w:hAnsi="Times New Roman" w:cs="Times New Roman"/>
          <w:b w:val="0"/>
          <w:i w:val="0"/>
          <w:color w:val="000000" w:themeColor="text1"/>
          <w:sz w:val="20"/>
          <w:lang w:val="en-GB"/>
        </w:rPr>
        <w:t>hull</w:t>
      </w:r>
      <w:r w:rsidR="0073504E" w:rsidRPr="0073504E">
        <w:rPr>
          <w:rFonts w:ascii="Times New Roman" w:hAnsi="Times New Roman" w:cs="Times New Roman"/>
          <w:b w:val="0"/>
          <w:i w:val="0"/>
          <w:color w:val="000000" w:themeColor="text1"/>
          <w:sz w:val="20"/>
          <w:lang w:val="en-GB"/>
        </w:rPr>
        <w:t>. The probability of two distinct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large patches in the densest region is negligible </w:t>
      </w:r>
      <w:r w:rsidR="0073504E">
        <w:rPr>
          <w:rFonts w:ascii="Times New Roman" w:hAnsi="Times New Roman" w:cs="Times New Roman"/>
          <w:b w:val="0"/>
          <w:i w:val="0"/>
          <w:color w:val="000000" w:themeColor="text1"/>
          <w:sz w:val="20"/>
          <w:lang w:val="en-GB"/>
        </w:rPr>
        <w:t xml:space="preserve">[1] </w:t>
      </w:r>
      <w:r w:rsidR="0073504E" w:rsidRPr="0073504E">
        <w:rPr>
          <w:rFonts w:ascii="Times New Roman" w:hAnsi="Times New Roman" w:cs="Times New Roman"/>
          <w:b w:val="0"/>
          <w:i w:val="0"/>
          <w:color w:val="000000" w:themeColor="text1"/>
          <w:sz w:val="20"/>
          <w:lang w:val="en-GB"/>
        </w:rPr>
        <w:t>in a sufficiently large lattice. Therefore, we call the largest patch</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“connected patch”</w:t>
      </w:r>
      <w:r w:rsidR="0073504E">
        <w:rPr>
          <w:rFonts w:ascii="Times New Roman" w:hAnsi="Times New Roman" w:cs="Times New Roman"/>
          <w:b w:val="0"/>
          <w:i w:val="0"/>
          <w:color w:val="000000" w:themeColor="text1"/>
          <w:sz w:val="20"/>
          <w:lang w:val="en-GB"/>
        </w:rPr>
        <w:t xml:space="preserve">, or </w:t>
      </w:r>
      <w:r w:rsidR="0073504E" w:rsidRPr="0073504E">
        <w:rPr>
          <w:rFonts w:ascii="Times New Roman" w:hAnsi="Times New Roman" w:cs="Times New Roman"/>
          <w:b w:val="0"/>
          <w:iCs/>
          <w:color w:val="000000" w:themeColor="text1"/>
          <w:sz w:val="20"/>
          <w:lang w:val="en-GB"/>
        </w:rPr>
        <w:t>“giant component”</w:t>
      </w:r>
      <w:r w:rsidR="0073504E">
        <w:rPr>
          <w:rFonts w:ascii="Times New Roman" w:hAnsi="Times New Roman" w:cs="Times New Roman"/>
          <w:b w:val="0"/>
          <w:i w:val="0"/>
          <w:color w:val="000000" w:themeColor="text1"/>
          <w:sz w:val="20"/>
          <w:lang w:val="en-GB"/>
        </w:rPr>
        <w:t>.</w:t>
      </w:r>
      <w:r w:rsidR="0073504E" w:rsidRPr="0073504E">
        <w:rPr>
          <w:rFonts w:ascii="Times New Roman" w:hAnsi="Times New Roman" w:cs="Times New Roman"/>
          <w:b w:val="0"/>
          <w:iCs/>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All the other patches we call “fragments”</w:t>
      </w:r>
      <w:r w:rsidR="0073504E">
        <w:rPr>
          <w:rFonts w:ascii="Times New Roman" w:hAnsi="Times New Roman" w:cs="Times New Roman"/>
          <w:b w:val="0"/>
          <w:i w:val="0"/>
          <w:color w:val="000000" w:themeColor="text1"/>
          <w:sz w:val="20"/>
          <w:lang w:val="en-GB"/>
        </w:rPr>
        <w:t>.</w:t>
      </w:r>
    </w:p>
    <w:p w14:paraId="2173F571" w14:textId="0BE1295B" w:rsidR="009A62B8" w:rsidRDefault="0073504E"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 xml:space="preserve"> </w:t>
      </w:r>
      <w:r w:rsidR="004812BA">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The detection can be made using the Hoshen-Kopelman algorithm which </w:t>
      </w:r>
      <w:r w:rsidRPr="004812BA">
        <w:rPr>
          <w:rFonts w:ascii="Times New Roman" w:hAnsi="Times New Roman" w:cs="Times New Roman"/>
          <w:b w:val="0"/>
          <w:i w:val="0"/>
          <w:color w:val="000000" w:themeColor="text1"/>
          <w:sz w:val="20"/>
          <w:lang w:val="en-GB"/>
        </w:rPr>
        <w:t xml:space="preserve">is a simple and efficient algorithm for </w:t>
      </w:r>
      <w:r>
        <w:rPr>
          <w:rFonts w:ascii="Times New Roman" w:hAnsi="Times New Roman" w:cs="Times New Roman"/>
          <w:b w:val="0"/>
          <w:i w:val="0"/>
          <w:color w:val="000000" w:themeColor="text1"/>
          <w:sz w:val="20"/>
          <w:lang w:val="en-GB"/>
        </w:rPr>
        <w:t>labelling</w:t>
      </w:r>
      <w:r w:rsidRPr="004812BA">
        <w:rPr>
          <w:rFonts w:ascii="Times New Roman" w:hAnsi="Times New Roman" w:cs="Times New Roman"/>
          <w:b w:val="0"/>
          <w:i w:val="0"/>
          <w:color w:val="000000" w:themeColor="text1"/>
          <w:sz w:val="20"/>
          <w:lang w:val="en-GB"/>
        </w:rPr>
        <w:t xml:space="preserve"> clusters on a grid, where the grid is a regular network of cells, with the cells being either occupied or unoccupied. This algorithm is based on a well-known union-finding algorithm.</w:t>
      </w:r>
      <w:r w:rsidR="008A47CA">
        <w:rPr>
          <w:rFonts w:ascii="Times New Roman" w:hAnsi="Times New Roman" w:cs="Times New Roman"/>
          <w:b w:val="0"/>
          <w:i w:val="0"/>
          <w:color w:val="000000" w:themeColor="text1"/>
          <w:sz w:val="20"/>
          <w:lang w:val="en-GB"/>
        </w:rPr>
        <w:t xml:space="preserve"> </w:t>
      </w:r>
      <w:r w:rsidR="008A47CA" w:rsidRPr="008A47CA">
        <w:rPr>
          <w:rFonts w:ascii="Times New Roman" w:hAnsi="Times New Roman" w:cs="Times New Roman"/>
          <w:b w:val="0"/>
          <w:i w:val="0"/>
          <w:color w:val="000000" w:themeColor="text1"/>
          <w:sz w:val="20"/>
          <w:lang w:val="en-GB"/>
        </w:rPr>
        <w:t xml:space="preserve">In this algorithm, we scan through a grid looking for occupied cells and labelling them with cluster labels. The scanning process is called a raster scan. The algorithm begins with scanning the grid cell by cell and checking whether the cell is occupied or not. If the cell is occupied, then it must be labelled with a cluster label. This cluster label is assigned based on the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xml:space="preserve"> of that cell. (For this we are going to use Union-Find Algorithm which is explained in the next </w:t>
      </w:r>
      <w:r w:rsidR="008A47CA">
        <w:rPr>
          <w:rFonts w:ascii="Times New Roman" w:hAnsi="Times New Roman" w:cs="Times New Roman"/>
          <w:b w:val="0"/>
          <w:i w:val="0"/>
          <w:color w:val="000000" w:themeColor="text1"/>
          <w:sz w:val="20"/>
          <w:lang w:val="en-GB"/>
        </w:rPr>
        <w:t>paragraph</w:t>
      </w:r>
      <w:r w:rsidR="008A47CA" w:rsidRPr="008A47CA">
        <w:rPr>
          <w:rFonts w:ascii="Times New Roman" w:hAnsi="Times New Roman" w:cs="Times New Roman"/>
          <w:b w:val="0"/>
          <w:i w:val="0"/>
          <w:color w:val="000000" w:themeColor="text1"/>
          <w:sz w:val="20"/>
          <w:lang w:val="en-GB"/>
        </w:rPr>
        <w:t xml:space="preserve">.) If the cell doesn’t have any occupied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then a new label is assigned to the cell.</w:t>
      </w:r>
    </w:p>
    <w:p w14:paraId="04EB6A6E" w14:textId="6F072422"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 Union-Find</w:t>
      </w:r>
      <w:r w:rsidRPr="008A47CA">
        <w:rPr>
          <w:rFonts w:ascii="Times New Roman" w:hAnsi="Times New Roman" w:cs="Times New Roman"/>
          <w:b w:val="0"/>
          <w:i w:val="0"/>
          <w:color w:val="000000" w:themeColor="text1"/>
          <w:sz w:val="20"/>
          <w:lang w:val="en-GB"/>
        </w:rPr>
        <w:t xml:space="preserve">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8A47CA">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8A47CA">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belongs.</w:t>
      </w:r>
    </w:p>
    <w:p w14:paraId="000222E4" w14:textId="2A7D44BB"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8A47CA">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w:t>
      </w:r>
      <w:r w:rsidRPr="008A47CA">
        <w:rPr>
          <w:rFonts w:ascii="Times New Roman" w:hAnsi="Times New Roman" w:cs="Times New Roman"/>
          <w:b w:val="0"/>
          <w:i w:val="0"/>
          <w:color w:val="000000" w:themeColor="text1"/>
          <w:sz w:val="20"/>
          <w:lang w:val="en-GB"/>
        </w:rPr>
        <w:t xml:space="preserve">If we find already scanned neighbours, the </w:t>
      </w:r>
      <m:oMath>
        <m:r>
          <m:rPr>
            <m:sty m:val="bi"/>
          </m:rPr>
          <w:rPr>
            <w:rFonts w:ascii="Cambria Math" w:hAnsi="Cambria Math" w:cs="Times New Roman"/>
            <w:color w:val="000000" w:themeColor="text1"/>
            <w:sz w:val="20"/>
            <w:lang w:val="en-GB"/>
          </w:rPr>
          <m:t>union</m:t>
        </m:r>
      </m:oMath>
      <w:r w:rsidRPr="008A47CA">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find</m:t>
        </m:r>
      </m:oMath>
      <w:r w:rsidRPr="008A47CA">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w:t>
      </w:r>
      <w:r>
        <w:rPr>
          <w:rFonts w:ascii="Times New Roman" w:hAnsi="Times New Roman" w:cs="Times New Roman"/>
          <w:b w:val="0"/>
          <w:i w:val="0"/>
          <w:color w:val="000000" w:themeColor="text1"/>
          <w:sz w:val="20"/>
          <w:lang w:val="en-GB"/>
        </w:rPr>
        <w:t xml:space="preserve"> </w:t>
      </w:r>
      <w:r w:rsidRPr="008A47CA">
        <w:rPr>
          <w:rFonts w:ascii="Times New Roman" w:hAnsi="Times New Roman" w:cs="Times New Roman"/>
          <w:b w:val="0"/>
          <w:i w:val="0"/>
          <w:color w:val="000000" w:themeColor="text1"/>
          <w:sz w:val="20"/>
          <w:lang w:val="en-GB"/>
        </w:rPr>
        <w:t>On the other hand, if the current cell has no neighbours, it is assigned a new, previously unused, label. The entire grid is processed in this way.</w:t>
      </w:r>
    </w:p>
    <w:p w14:paraId="22C281DE" w14:textId="43F94AA4" w:rsidR="008A47CA" w:rsidRPr="00C85533"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3BCEFA9A" w14:textId="490786A4"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t>Box Counting</w:t>
      </w:r>
    </w:p>
    <w:p w14:paraId="64B9A98B" w14:textId="18994C14"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5EDE4B31"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13C4DC5F" w14:textId="05990D00" w:rsidR="00C077E8" w:rsidRPr="00C85533" w:rsidRDefault="003C64E8" w:rsidP="00761589">
      <w:pPr>
        <w:pStyle w:val="H2First"/>
        <w:numPr>
          <w:ilvl w:val="1"/>
          <w:numId w:val="14"/>
        </w:numPr>
        <w:rPr>
          <w:lang w:val="en-GB"/>
        </w:rPr>
      </w:pPr>
      <w:r w:rsidRPr="00C85533">
        <w:rPr>
          <w:lang w:val="en-GB"/>
        </w:rPr>
        <w:t>Analyzing</w:t>
      </w:r>
      <w:r w:rsidR="00C077E8" w:rsidRPr="00C85533">
        <w:rPr>
          <w:lang w:val="en-GB"/>
        </w:rPr>
        <w:t xml:space="preserve"> real-life ecological data</w:t>
      </w:r>
    </w:p>
    <w:p w14:paraId="4260B9CE" w14:textId="41E104A2" w:rsidR="00C077E8" w:rsidRPr="00C85533" w:rsidRDefault="00C077E8" w:rsidP="00986B77">
      <w:pPr>
        <w:pStyle w:val="H2First"/>
        <w:numPr>
          <w:ilvl w:val="0"/>
          <w:numId w:val="0"/>
        </w:numPr>
        <w:ind w:left="360"/>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TODO</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4282117E" w:rsidR="00A440E1" w:rsidRPr="00C85533" w:rsidRDefault="00C077E8" w:rsidP="00C077E8">
      <w:pPr>
        <w:pStyle w:val="H1ListNoSpace"/>
        <w:numPr>
          <w:ilvl w:val="0"/>
          <w:numId w:val="0"/>
        </w:numPr>
        <w:ind w:left="360"/>
        <w:rPr>
          <w:lang w:val="en-GB"/>
        </w:rPr>
      </w:pPr>
      <w:r w:rsidRPr="00C85533">
        <w:rPr>
          <w:rFonts w:ascii="Times New Roman" w:hAnsi="Times New Roman" w:cs="Times New Roman"/>
          <w:b w:val="0"/>
          <w:color w:val="000000" w:themeColor="text1"/>
          <w:sz w:val="20"/>
          <w:lang w:val="en-GB"/>
        </w:rPr>
        <w:t>TODO</w:t>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 xml:space="preserve">This research project aims to test the hypothesis that the hull of the treeline mainland in high mountains is a fractal with dimension 7/4, using satellite imagery. By developing a feasible method for characterizing the fractal structure of treelines, this project has the potential </w:t>
      </w:r>
      <w:r w:rsidRPr="00C85533">
        <w:rPr>
          <w:rFonts w:ascii="Times New Roman" w:hAnsi="Times New Roman" w:cs="Times New Roman"/>
          <w:b w:val="0"/>
          <w:color w:val="000000" w:themeColor="text1"/>
          <w:sz w:val="20"/>
          <w:szCs w:val="20"/>
          <w:lang w:val="en-GB"/>
        </w:rPr>
        <w:lastRenderedPageBreak/>
        <w:t>to contribute to the precise delineation of species borders and the detection of population shifts due to 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A. Krizhevsky, I. Sutskever, and G. Hinton. Imagenet classification</w:t>
      </w:r>
    </w:p>
    <w:p w14:paraId="2B484684" w14:textId="77777777" w:rsidR="008730FE" w:rsidRPr="009B7A3B" w:rsidRDefault="008730FE" w:rsidP="008730FE">
      <w:pPr>
        <w:pStyle w:val="References"/>
        <w:numPr>
          <w:ilvl w:val="0"/>
          <w:numId w:val="0"/>
        </w:numPr>
        <w:ind w:left="360"/>
        <w:jc w:val="left"/>
        <w:rPr>
          <w:lang w:val="de-DE"/>
        </w:rPr>
      </w:pPr>
      <w:r w:rsidRPr="00C85533">
        <w:rPr>
          <w:lang w:val="en-GB"/>
        </w:rPr>
        <w:t xml:space="preserve">with deep convolutional neural networks. </w:t>
      </w:r>
      <w:r w:rsidRPr="009B7A3B">
        <w:rPr>
          <w:lang w:val="de-DE"/>
        </w:rPr>
        <w:t xml:space="preserve">In NIPS, 2012. </w:t>
      </w:r>
      <w:hyperlink r:id="rId10" w:history="1">
        <w:r w:rsidRPr="009B7A3B">
          <w:rPr>
            <w:rStyle w:val="Hyperlink"/>
            <w:lang w:val="de-DE"/>
          </w:rPr>
          <w:t>https://proceedings.neurips.cc/paper/2012/file/c399862d3b9d6b76c8436e924a68c45b-Paper.pdf</w:t>
        </w:r>
      </w:hyperlink>
      <w:r w:rsidRPr="009B7A3B">
        <w:rPr>
          <w:lang w:val="de-DE"/>
        </w:rPr>
        <w:t xml:space="preserve"> </w:t>
      </w:r>
    </w:p>
    <w:p w14:paraId="0EC5FCD7" w14:textId="77777777" w:rsidR="008730FE" w:rsidRPr="009B7A3B" w:rsidRDefault="008730FE" w:rsidP="008730FE">
      <w:pPr>
        <w:pStyle w:val="References"/>
        <w:jc w:val="left"/>
        <w:rPr>
          <w:lang w:val="de-DE"/>
        </w:rPr>
      </w:pPr>
      <w:r w:rsidRPr="009B7A3B">
        <w:rPr>
          <w:lang w:val="de-DE"/>
        </w:rPr>
        <w:t xml:space="preserve"> Y. LeCun, B. Boser, J. S. Denker,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Jackel. Backpropagation applied to handwritten zip code recognition. Neural computation, 1989. </w:t>
      </w:r>
      <w:hyperlink r:id="rId11" w:history="1">
        <w:r w:rsidRPr="00C85533">
          <w:rPr>
            <w:rStyle w:val="Hyperlink"/>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Vaswani, Noam Shazeer, Niki Parmar, Jakob Uszkoreit, Llion Jones, Aidan N Gomez, Łukasz Kaiser, and Illia Polosukhin. Attention is all you need. In NIPS, 2017. </w:t>
      </w:r>
      <w:hyperlink r:id="rId12" w:history="1">
        <w:r w:rsidRPr="00C85533">
          <w:rPr>
            <w:rStyle w:val="Hyperlink"/>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9B7A3B">
        <w:rPr>
          <w:lang w:val="de-DE"/>
        </w:rPr>
        <w:t xml:space="preserve">M. D. Zeiler and R. Fergus. </w:t>
      </w:r>
      <w:r w:rsidRPr="00C85533">
        <w:rPr>
          <w:lang w:val="en-GB"/>
        </w:rPr>
        <w:t xml:space="preserve">Visualizing and understanding convolutional neural networks. In ECCV, 2014. </w:t>
      </w:r>
      <w:hyperlink r:id="rId13" w:history="1">
        <w:r w:rsidRPr="00C85533">
          <w:rPr>
            <w:rStyle w:val="Hyperlink"/>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Dosovitsky, Lucas Beyer. An Image is worth 16x16 words. ICLR, 2021. </w:t>
      </w:r>
      <w:hyperlink r:id="rId14" w:history="1">
        <w:r w:rsidRPr="00C85533">
          <w:rPr>
            <w:rStyle w:val="Hyperlink"/>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r w:rsidRPr="00C85533">
        <w:rPr>
          <w:lang w:val="en-GB"/>
        </w:rPr>
        <w:t xml:space="preserve">Karimi, D. Vasylechko, S. Convolutional-Free Medical Image Segmentation using Transformers. </w:t>
      </w:r>
      <w:hyperlink r:id="rId15" w:history="1">
        <w:r w:rsidRPr="00C85533">
          <w:rPr>
            <w:rStyle w:val="Hyperlink"/>
            <w:lang w:val="en-GB"/>
          </w:rPr>
          <w:t>https://arxiv.org/abs/2102.13645</w:t>
        </w:r>
      </w:hyperlink>
    </w:p>
    <w:p w14:paraId="4D3B05E2" w14:textId="77777777" w:rsidR="008730FE" w:rsidRPr="00C85533" w:rsidRDefault="008730FE" w:rsidP="008730FE">
      <w:pPr>
        <w:pStyle w:val="References"/>
        <w:jc w:val="left"/>
        <w:rPr>
          <w:lang w:val="en-GB"/>
        </w:rPr>
      </w:pPr>
      <w:r w:rsidRPr="00C85533">
        <w:rPr>
          <w:lang w:val="en-GB"/>
        </w:rPr>
        <w:t xml:space="preserve">Bazi, Y. Bashmal, L. Rahhal, M. Dayil R.A. Vision Transformers for Remote Sensing Image Classification. Remote Sens. </w:t>
      </w:r>
      <w:hyperlink r:id="rId16" w:history="1">
        <w:r w:rsidRPr="00C85533">
          <w:rPr>
            <w:rStyle w:val="Hyperlink"/>
            <w:lang w:val="en-GB"/>
          </w:rPr>
          <w:t>https://arxiv.org/pdf/2208.03987.pdf</w:t>
        </w:r>
      </w:hyperlink>
    </w:p>
    <w:p w14:paraId="6C5D88B7" w14:textId="77777777" w:rsidR="008730FE" w:rsidRPr="00C85533" w:rsidRDefault="008730FE" w:rsidP="008730FE">
      <w:pPr>
        <w:pStyle w:val="References"/>
        <w:jc w:val="left"/>
        <w:rPr>
          <w:lang w:val="en-GB"/>
        </w:rPr>
      </w:pPr>
      <w:r w:rsidRPr="00C85533">
        <w:rPr>
          <w:lang w:val="en-GB"/>
        </w:rPr>
        <w:t xml:space="preserve">Mingxing Tan, Quoc V. Le EfficientNet: Rethinking Model Scaling for Convolutional Neural Networks. </w:t>
      </w:r>
      <w:hyperlink r:id="rId17" w:history="1">
        <w:r w:rsidRPr="00C85533">
          <w:rPr>
            <w:rStyle w:val="Hyperlink"/>
            <w:lang w:val="en-GB"/>
          </w:rPr>
          <w:t>https://arxiv.org/pdf/1905.11946v5.pdf</w:t>
        </w:r>
      </w:hyperlink>
    </w:p>
    <w:p w14:paraId="5B52B79C" w14:textId="77777777" w:rsidR="008730FE" w:rsidRPr="00C85533" w:rsidRDefault="008730FE" w:rsidP="008730FE">
      <w:pPr>
        <w:pStyle w:val="References"/>
        <w:jc w:val="left"/>
        <w:rPr>
          <w:lang w:val="en-GB"/>
        </w:rPr>
      </w:pPr>
      <w:r w:rsidRPr="00C85533">
        <w:rPr>
          <w:lang w:val="en-GB"/>
        </w:rPr>
        <w:t xml:space="preserve">Kaiming He, Xiangyu Zhang, Shaoqing Ren, Jian Sun. Deep Residual Learning for Image Recognition. </w:t>
      </w:r>
      <w:hyperlink r:id="rId18" w:history="1">
        <w:r w:rsidRPr="00C85533">
          <w:rPr>
            <w:rStyle w:val="Hyperlink"/>
            <w:lang w:val="en-GB"/>
          </w:rPr>
          <w:t>https://arxiv.org/pdf/1512.03385v1.pdf</w:t>
        </w:r>
      </w:hyperlink>
    </w:p>
    <w:p w14:paraId="0F5AC181" w14:textId="77777777" w:rsidR="008730FE" w:rsidRPr="00C85533" w:rsidRDefault="008730FE" w:rsidP="008730FE">
      <w:pPr>
        <w:pStyle w:val="References"/>
        <w:jc w:val="left"/>
        <w:rPr>
          <w:lang w:val="en-GB"/>
        </w:rPr>
      </w:pPr>
      <w:r w:rsidRPr="00C85533">
        <w:rPr>
          <w:lang w:val="en-GB"/>
        </w:rPr>
        <w:t xml:space="preserve">Yanghao Li, Hanzi Mao, Ross Girshick, Kaiming He. Exploring Plain Vision Transformer Backbones for Object Detection. </w:t>
      </w:r>
      <w:hyperlink r:id="rId19" w:history="1">
        <w:r w:rsidRPr="00C85533">
          <w:rPr>
            <w:rStyle w:val="Hyperlink"/>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B7239" w14:textId="77777777" w:rsidR="00093F86" w:rsidRDefault="00093F86">
      <w:r>
        <w:separator/>
      </w:r>
    </w:p>
  </w:endnote>
  <w:endnote w:type="continuationSeparator" w:id="0">
    <w:p w14:paraId="6BD954F6" w14:textId="77777777" w:rsidR="00093F86" w:rsidRDefault="0009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6A61" w14:textId="77777777" w:rsidR="00093F86" w:rsidRDefault="00093F86">
      <w:r>
        <w:separator/>
      </w:r>
    </w:p>
  </w:footnote>
  <w:footnote w:type="continuationSeparator" w:id="0">
    <w:p w14:paraId="07AA73DC" w14:textId="77777777" w:rsidR="00093F86" w:rsidRDefault="00093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33191">
    <w:abstractNumId w:val="0"/>
  </w:num>
  <w:num w:numId="2" w16cid:durableId="919367704">
    <w:abstractNumId w:val="8"/>
  </w:num>
  <w:num w:numId="3" w16cid:durableId="850264899">
    <w:abstractNumId w:val="6"/>
  </w:num>
  <w:num w:numId="4" w16cid:durableId="1855343587">
    <w:abstractNumId w:val="13"/>
  </w:num>
  <w:num w:numId="5" w16cid:durableId="855771988">
    <w:abstractNumId w:val="9"/>
  </w:num>
  <w:num w:numId="6" w16cid:durableId="1443457901">
    <w:abstractNumId w:val="10"/>
  </w:num>
  <w:num w:numId="7" w16cid:durableId="1498377661">
    <w:abstractNumId w:val="3"/>
  </w:num>
  <w:num w:numId="8" w16cid:durableId="451944784">
    <w:abstractNumId w:val="2"/>
  </w:num>
  <w:num w:numId="9" w16cid:durableId="122771122">
    <w:abstractNumId w:val="5"/>
  </w:num>
  <w:num w:numId="10" w16cid:durableId="706833021">
    <w:abstractNumId w:val="14"/>
  </w:num>
  <w:num w:numId="11" w16cid:durableId="10451484">
    <w:abstractNumId w:val="7"/>
  </w:num>
  <w:num w:numId="12" w16cid:durableId="59911125">
    <w:abstractNumId w:val="1"/>
  </w:num>
  <w:num w:numId="13" w16cid:durableId="1236280209">
    <w:abstractNumId w:val="11"/>
  </w:num>
  <w:num w:numId="14" w16cid:durableId="1205941254">
    <w:abstractNumId w:val="12"/>
  </w:num>
  <w:num w:numId="15" w16cid:durableId="162596059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4DCF"/>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3568</Words>
  <Characters>20342</Characters>
  <Application>Microsoft Office Word</Application>
  <DocSecurity>0</DocSecurity>
  <Lines>169</Lines>
  <Paragraphs>47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23863</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25</cp:revision>
  <cp:lastPrinted>2022-12-09T12:03:00Z</cp:lastPrinted>
  <dcterms:created xsi:type="dcterms:W3CDTF">2023-06-15T17:11:00Z</dcterms:created>
  <dcterms:modified xsi:type="dcterms:W3CDTF">2023-06-21T15:46:00Z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