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media/image1.jpeg" ContentType="image/jpeg"/>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sdt>
        <w:sdtPr>
          <w:placeholder>
            <w:docPart w:val="DefaultPlaceholder_-1854013440"/>
          </w:placeholder>
          <w:id w:val="64608689"/>
          <w:lock w:val="sdtLocked"/>
          <w:text/>
        </w:sdtPr>
        <w:sdtContent>
          <w:r>
            <w:rPr>
              <w:rFonts w:cs="Arial" w:ascii="Source Sans Pro Bold" w:hAnsi="Source Sans Pro Bold" w:asciiTheme="majorHAnsi" w:hAnsiTheme="majorHAnsi"/>
              <w:b/>
              <w:sz w:val="36"/>
              <w:szCs w:val="40"/>
              <w:u w:val="thick"/>
            </w:rPr>
          </w:r>
          <w:r>
            <w:rPr>
              <w:rFonts w:cs="Arial" w:ascii="Source Sans Pro Bold" w:hAnsi="Source Sans Pro Bold" w:asciiTheme="majorHAnsi" w:hAnsiTheme="majorHAnsi"/>
              <w:b/>
              <w:sz w:val="36"/>
              <w:szCs w:val="40"/>
              <w:u w:val="thick"/>
            </w:rPr>
            <w:t>Projektbeschreibung</w:t>
          </w:r>
        </w:sdtContent>
      </w:sdt>
    </w:p>
    <w:tbl>
      <w:tblPr>
        <w:tblStyle w:val="TableGrid"/>
        <w:tblW w:w="5000" w:type="pct"/>
        <w:jc w:val="start"/>
        <w:tblInd w:w="-5" w:type="dxa"/>
        <w:tblLayout w:type="fixed"/>
        <w:tblCellMar>
          <w:top w:w="0" w:type="dxa"/>
          <w:start w:w="108" w:type="dxa"/>
          <w:bottom w:w="0" w:type="dxa"/>
          <w:end w:w="108" w:type="dxa"/>
        </w:tblCellMar>
        <w:tblLook w:val="04a0" w:noHBand="0" w:noVBand="1" w:firstColumn="1" w:lastRow="0" w:lastColumn="0" w:firstRow="1"/>
      </w:tblPr>
      <w:tblGrid>
        <w:gridCol w:w="2976"/>
        <w:gridCol w:w="3118"/>
        <w:gridCol w:w="710"/>
        <w:gridCol w:w="637"/>
        <w:gridCol w:w="638"/>
        <w:gridCol w:w="636"/>
        <w:gridCol w:w="639"/>
      </w:tblGrid>
      <w:tr>
        <w:trPr>
          <w:trHeight w:val="397" w:hRule="atLeast"/>
        </w:trPr>
        <w:tc>
          <w:tcPr>
            <w:tcW w:w="9354" w:type="dxa"/>
            <w:gridSpan w:val="7"/>
            <w:tcBorders>
              <w:top w:val="single" w:sz="4" w:space="0" w:color="808080"/>
              <w:start w:val="single" w:sz="4" w:space="0" w:color="808080"/>
              <w:bottom w:val="single" w:sz="4" w:space="0" w:color="808080"/>
              <w:end w:val="single" w:sz="4" w:space="0" w:color="808080"/>
            </w:tcBorders>
            <w:shd w:color="auto" w:fill="D9D9D9" w:themeFill="background1" w:themeFillShade="d9" w:val="clear"/>
            <w:vAlign w:val="center"/>
          </w:tcPr>
          <w:sdt>
            <w:sdtPr>
              <w:id w:val="390458843"/>
              <w:placeholder>
                <w:docPart w:val="DefaultPlaceholder_-1854013440"/>
              </w:placeholder>
              <w:lock w:val="sdtContentLocked"/>
            </w:sdtPr>
            <w:sdtContent>
              <w:p>
                <w:pPr>
                  <w:pStyle w:val="Normal"/>
                  <w:widowControl/>
                  <w:spacing w:beforeAutospacing="1" w:after="0"/>
                  <w:jc w:val="start"/>
                  <w:rPr>
                    <w:rFonts w:ascii="Source Sans Pro Bold" w:hAnsi="Source Sans Pro Bold" w:asciiTheme="majorHAnsi" w:hAnsiTheme="majorHAnsi"/>
                    <w:b/>
                    <w:sz w:val="22"/>
                  </w:rPr>
                </w:pPr>
                <w:r>
                  <w:rPr>
                    <w:rFonts w:eastAsia="Source Sans Pro" w:cs="Arial" w:ascii="Source Sans Pro Bold" w:hAnsi="Source Sans Pro Bold" w:asciiTheme="majorHAnsi" w:hAnsiTheme="majorHAnsi"/>
                    <w:b/>
                    <w:kern w:val="0"/>
                    <w:sz w:val="22"/>
                    <w:szCs w:val="22"/>
                    <w:lang w:val="de-DE" w:eastAsia="en-US" w:bidi="ar-SA"/>
                  </w:rPr>
                  <w:t>Allgemeine Angaben</w:t>
                </w:r>
              </w:p>
            </w:sdtContent>
          </w:sdt>
        </w:tc>
      </w:tr>
      <w:tr>
        <w:trPr>
          <w:trHeight w:val="397" w:hRule="atLeast"/>
        </w:trPr>
        <w:tc>
          <w:tcPr>
            <w:tcW w:w="2976" w:type="dxa"/>
            <w:tcBorders>
              <w:top w:val="single" w:sz="4" w:space="0" w:color="808080"/>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before="0" w:after="120"/>
              <w:jc w:val="start"/>
              <w:rPr>
                <w:sz w:val="20"/>
                <w:szCs w:val="20"/>
              </w:rPr>
            </w:pPr>
            <w:sdt>
              <w:sdtPr>
                <w:placeholder>
                  <w:docPart w:val="DefaultPlaceholder_-1854013440"/>
                </w:placeholder>
                <w:id w:val="-1106107291"/>
                <w:lock w:val="sdtContentLocked"/>
                <w:text/>
              </w:sdtPr>
              <w:sdtContent>
                <w:r>
                  <w:rPr>
                    <w:rFonts w:eastAsia="Source Sans Pro" w:cs="Arial"/>
                    <w:kern w:val="0"/>
                    <w:sz w:val="20"/>
                    <w:szCs w:val="20"/>
                    <w:lang w:val="de-DE" w:eastAsia="en-US" w:bidi="ar-SA"/>
                  </w:rPr>
                </w:r>
                <w:r>
                  <w:rPr>
                    <w:rFonts w:eastAsia="Source Sans Pro" w:cs="Arial"/>
                    <w:kern w:val="0"/>
                    <w:sz w:val="20"/>
                    <w:szCs w:val="20"/>
                    <w:lang w:val="de-DE" w:eastAsia="en-US" w:bidi="ar-SA"/>
                  </w:rPr>
                  <w:t>Projektbezeichnung</w:t>
                </w:r>
              </w:sdtContent>
            </w:sdt>
          </w:p>
        </w:tc>
        <w:tc>
          <w:tcPr>
            <w:tcW w:w="6378" w:type="dxa"/>
            <w:gridSpan w:val="6"/>
            <w:tcBorders>
              <w:top w:val="single" w:sz="4" w:space="0" w:color="808080"/>
              <w:start w:val="single" w:sz="4" w:space="0" w:color="D9D9D9"/>
              <w:bottom w:val="single" w:sz="4" w:space="0" w:color="D9D9D9"/>
              <w:end w:val="single" w:sz="4" w:space="0" w:color="808080"/>
            </w:tcBorders>
          </w:tcPr>
          <w:p>
            <w:pPr>
              <w:pStyle w:val="Normal"/>
              <w:widowControl/>
              <w:spacing w:lineRule="auto" w:line="259" w:before="0" w:after="120"/>
              <w:jc w:val="start"/>
              <w:rPr>
                <w:sz w:val="20"/>
                <w:szCs w:val="20"/>
                <w:lang w:val="en-US"/>
              </w:rPr>
            </w:pPr>
            <w:r>
              <w:rPr>
                <w:rFonts w:eastAsia="Source Sans Pro" w:cs="Arial"/>
                <w:b/>
                <w:bCs/>
                <w:kern w:val="0"/>
                <w:sz w:val="20"/>
                <w:szCs w:val="20"/>
                <w:lang w:val="en-US" w:eastAsia="en-US" w:bidi="ar-SA"/>
              </w:rPr>
              <w:t>EXCELS</w:t>
            </w:r>
            <w:r>
              <w:rPr>
                <w:rFonts w:eastAsia="Source Sans Pro" w:cs="Arial"/>
                <w:kern w:val="0"/>
                <w:sz w:val="20"/>
                <w:szCs w:val="20"/>
                <w:lang w:val="en-US" w:eastAsia="en-US" w:bidi="ar-SA"/>
              </w:rPr>
              <w:t xml:space="preserve">: </w:t>
            </w:r>
            <w:r>
              <w:rPr>
                <w:rFonts w:eastAsia="Source Sans Pro" w:cs="Arial"/>
                <w:b/>
                <w:bCs/>
                <w:kern w:val="0"/>
                <w:sz w:val="20"/>
                <w:szCs w:val="20"/>
                <w:lang w:val="en-US" w:eastAsia="en-US" w:bidi="ar-SA"/>
              </w:rPr>
              <w:t>Ex</w:t>
            </w:r>
            <w:r>
              <w:rPr>
                <w:rFonts w:eastAsia="Source Sans Pro" w:cs="Arial"/>
                <w:kern w:val="0"/>
                <w:sz w:val="20"/>
                <w:szCs w:val="20"/>
                <w:lang w:val="en-US" w:eastAsia="en-US" w:bidi="ar-SA"/>
              </w:rPr>
              <w:t>cellence in</w:t>
            </w:r>
            <w:r>
              <w:rPr>
                <w:rFonts w:eastAsia="Source Sans Pro" w:cs="Arial"/>
                <w:b/>
                <w:bCs/>
                <w:kern w:val="0"/>
                <w:sz w:val="20"/>
                <w:szCs w:val="20"/>
                <w:lang w:val="en-US" w:eastAsia="en-US" w:bidi="ar-SA"/>
              </w:rPr>
              <w:t xml:space="preserve"> C</w:t>
            </w:r>
            <w:r>
              <w:rPr>
                <w:rFonts w:eastAsia="Source Sans Pro" w:cs="Arial"/>
                <w:kern w:val="0"/>
                <w:sz w:val="20"/>
                <w:szCs w:val="20"/>
                <w:lang w:val="en-US" w:eastAsia="en-US" w:bidi="ar-SA"/>
              </w:rPr>
              <w:t xml:space="preserve">omputer Science and </w:t>
            </w:r>
            <w:r>
              <w:rPr>
                <w:rFonts w:eastAsia="Source Sans Pro" w:cs="Arial"/>
                <w:b/>
                <w:bCs/>
                <w:kern w:val="0"/>
                <w:sz w:val="20"/>
                <w:szCs w:val="20"/>
                <w:lang w:val="en-US" w:eastAsia="en-US" w:bidi="ar-SA"/>
              </w:rPr>
              <w:t>E</w:t>
            </w:r>
            <w:r>
              <w:rPr>
                <w:rFonts w:eastAsia="Source Sans Pro" w:cs="Arial"/>
                <w:kern w:val="0"/>
                <w:sz w:val="20"/>
                <w:szCs w:val="20"/>
                <w:lang w:val="en-US" w:eastAsia="en-US" w:bidi="ar-SA"/>
              </w:rPr>
              <w:t xml:space="preserve">lectrical Engineering </w:t>
            </w:r>
            <w:r>
              <w:rPr>
                <w:rFonts w:eastAsia="Source Sans Pro" w:cs="Arial"/>
                <w:b/>
                <w:bCs/>
                <w:kern w:val="0"/>
                <w:sz w:val="20"/>
                <w:szCs w:val="20"/>
                <w:lang w:val="en-US" w:eastAsia="en-US" w:bidi="ar-SA"/>
              </w:rPr>
              <w:t>L</w:t>
            </w:r>
            <w:r>
              <w:rPr>
                <w:rFonts w:eastAsia="Source Sans Pro" w:cs="Arial"/>
                <w:kern w:val="0"/>
                <w:sz w:val="20"/>
                <w:szCs w:val="20"/>
                <w:lang w:val="en-US" w:eastAsia="en-US" w:bidi="ar-SA"/>
              </w:rPr>
              <w:t xml:space="preserve">eadership in </w:t>
            </w:r>
            <w:r>
              <w:rPr>
                <w:rFonts w:eastAsia="Source Sans Pro" w:cs="Arial"/>
                <w:b/>
                <w:bCs/>
                <w:kern w:val="0"/>
                <w:sz w:val="20"/>
                <w:szCs w:val="20"/>
                <w:lang w:val="en-US" w:eastAsia="en-US" w:bidi="ar-SA"/>
              </w:rPr>
              <w:t>S</w:t>
            </w:r>
            <w:r>
              <w:rPr>
                <w:rFonts w:eastAsia="Source Sans Pro" w:cs="Arial"/>
                <w:kern w:val="0"/>
                <w:sz w:val="20"/>
                <w:szCs w:val="20"/>
                <w:lang w:val="en-US" w:eastAsia="en-US" w:bidi="ar-SA"/>
              </w:rPr>
              <w:t xml:space="preserve">iegen </w:t>
            </w:r>
          </w:p>
        </w:tc>
      </w:tr>
      <w:tr>
        <w:trPr>
          <w:trHeight w:val="397" w:hRule="atLeast"/>
        </w:trPr>
        <w:tc>
          <w:tcPr>
            <w:tcW w:w="2976" w:type="dxa"/>
            <w:tcBorders>
              <w:top w:val="single" w:sz="4" w:space="0" w:color="D9D9D9"/>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120"/>
              <w:jc w:val="start"/>
              <w:rPr>
                <w:sz w:val="20"/>
                <w:szCs w:val="20"/>
              </w:rPr>
            </w:pPr>
            <w:sdt>
              <w:sdtPr>
                <w:placeholder>
                  <w:docPart w:val="DefaultPlaceholder_-1854013440"/>
                </w:placeholder>
                <w:id w:val="-734472129"/>
                <w:lock w:val="sdtContentLocked"/>
                <w:text/>
              </w:sdtPr>
              <w:sdtContent>
                <w:r>
                  <w:rPr>
                    <w:rFonts w:eastAsia="Source Sans Pro" w:cs="Arial"/>
                    <w:kern w:val="0"/>
                    <w:sz w:val="20"/>
                    <w:szCs w:val="20"/>
                    <w:lang w:val="de-DE" w:eastAsia="en-US" w:bidi="ar-SA"/>
                  </w:rPr>
                </w:r>
                <w:r>
                  <w:rPr>
                    <w:rFonts w:eastAsia="Source Sans Pro" w:cs="Arial"/>
                    <w:kern w:val="0"/>
                    <w:sz w:val="20"/>
                    <w:szCs w:val="20"/>
                    <w:lang w:val="de-DE" w:eastAsia="en-US" w:bidi="ar-SA"/>
                  </w:rPr>
                  <w:t>Antragstellende Institution</w:t>
                </w:r>
              </w:sdtContent>
            </w:sdt>
          </w:p>
        </w:tc>
        <w:tc>
          <w:tcPr>
            <w:tcW w:w="6378" w:type="dxa"/>
            <w:gridSpan w:val="6"/>
            <w:tcBorders>
              <w:top w:val="single" w:sz="4" w:space="0" w:color="D9D9D9"/>
              <w:start w:val="single" w:sz="4" w:space="0" w:color="D9D9D9"/>
              <w:bottom w:val="single" w:sz="4" w:space="0" w:color="D9D9D9"/>
              <w:end w:val="single" w:sz="4" w:space="0" w:color="808080"/>
            </w:tcBorders>
          </w:tcPr>
          <w:p>
            <w:pPr>
              <w:pStyle w:val="Normal"/>
              <w:widowControl/>
              <w:spacing w:lineRule="auto" w:line="259" w:before="0" w:after="120"/>
              <w:jc w:val="start"/>
              <w:rPr>
                <w:sz w:val="20"/>
                <w:szCs w:val="20"/>
              </w:rPr>
            </w:pPr>
            <w:r>
              <w:rPr>
                <w:rFonts w:eastAsia="Source Sans Pro" w:cs="Arial"/>
                <w:kern w:val="0"/>
                <w:sz w:val="20"/>
                <w:szCs w:val="20"/>
                <w:lang w:val="de-DE" w:eastAsia="en-US" w:bidi="ar-SA"/>
              </w:rPr>
              <w:t>Universität Siegen</w:t>
            </w:r>
          </w:p>
        </w:tc>
      </w:tr>
      <w:tr>
        <w:trPr>
          <w:trHeight w:val="397" w:hRule="atLeast"/>
        </w:trPr>
        <w:tc>
          <w:tcPr>
            <w:tcW w:w="2976" w:type="dxa"/>
            <w:tcBorders>
              <w:top w:val="single" w:sz="4" w:space="0" w:color="D9D9D9"/>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120"/>
              <w:jc w:val="start"/>
              <w:rPr>
                <w:sz w:val="20"/>
                <w:szCs w:val="20"/>
              </w:rPr>
            </w:pPr>
            <w:sdt>
              <w:sdtPr>
                <w:placeholder>
                  <w:docPart w:val="DefaultPlaceholder_-1854013440"/>
                </w:placeholder>
                <w:id w:val="295968383"/>
                <w:lock w:val="sdtContentLocked"/>
                <w:text/>
              </w:sdtPr>
              <w:sdtContent>
                <w:r>
                  <w:rPr>
                    <w:rFonts w:eastAsia="Source Sans Pro" w:cs="Arial"/>
                    <w:bCs/>
                    <w:kern w:val="0"/>
                    <w:sz w:val="20"/>
                    <w:szCs w:val="20"/>
                    <w:lang w:val="de-DE" w:eastAsia="en-US" w:bidi="ar-SA"/>
                  </w:rPr>
                </w:r>
                <w:r>
                  <w:rPr>
                    <w:rFonts w:eastAsia="Source Sans Pro" w:cs="Arial"/>
                    <w:bCs/>
                    <w:kern w:val="0"/>
                    <w:sz w:val="20"/>
                    <w:szCs w:val="20"/>
                    <w:lang w:val="de-DE" w:eastAsia="en-US" w:bidi="ar-SA"/>
                  </w:rPr>
                  <w:t>Organisationsbereich</w:t>
                </w:r>
              </w:sdtContent>
            </w:sdt>
          </w:p>
        </w:tc>
        <w:tc>
          <w:tcPr>
            <w:tcW w:w="6378" w:type="dxa"/>
            <w:gridSpan w:val="6"/>
            <w:tcBorders>
              <w:top w:val="single" w:sz="4" w:space="0" w:color="D9D9D9"/>
              <w:start w:val="single" w:sz="4" w:space="0" w:color="D9D9D9"/>
              <w:bottom w:val="single" w:sz="4" w:space="0" w:color="D9D9D9"/>
              <w:end w:val="single" w:sz="4" w:space="0" w:color="808080"/>
            </w:tcBorders>
          </w:tcPr>
          <w:p>
            <w:pPr>
              <w:pStyle w:val="Normal"/>
              <w:widowControl/>
              <w:spacing w:lineRule="auto" w:line="259" w:before="0" w:after="120"/>
              <w:jc w:val="start"/>
              <w:rPr>
                <w:rStyle w:val="Formatvorlage4"/>
                <w:szCs w:val="20"/>
              </w:rPr>
            </w:pPr>
            <w:r>
              <w:rPr>
                <w:rStyle w:val="Formatvorlage4"/>
                <w:rFonts w:eastAsia="Source Sans Pro" w:cs="Arial"/>
                <w:kern w:val="0"/>
                <w:szCs w:val="20"/>
                <w:lang w:val="de-DE" w:eastAsia="en-US" w:bidi="ar-SA"/>
              </w:rPr>
              <w:t>Department Elektrotechnik und Informatik (ETI), Fakultät IV</w:t>
            </w:r>
          </w:p>
        </w:tc>
      </w:tr>
      <w:tr>
        <w:trPr>
          <w:trHeight w:val="397" w:hRule="atLeast"/>
        </w:trPr>
        <w:tc>
          <w:tcPr>
            <w:tcW w:w="2976" w:type="dxa"/>
            <w:tcBorders>
              <w:top w:val="single" w:sz="4" w:space="0" w:color="D9D9D9"/>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120"/>
              <w:jc w:val="start"/>
              <w:rPr>
                <w:sz w:val="20"/>
                <w:szCs w:val="20"/>
              </w:rPr>
            </w:pPr>
            <w:sdt>
              <w:sdtPr>
                <w:placeholder>
                  <w:docPart w:val="DefaultPlaceholder_-1854013440"/>
                </w:placeholder>
                <w:id w:val="1507944418"/>
                <w:lock w:val="sdtContentLocked"/>
                <w:text/>
              </w:sdtPr>
              <w:sdtContent>
                <w:r>
                  <w:rPr>
                    <w:rFonts w:eastAsia="Source Sans Pro" w:cs="Arial"/>
                    <w:kern w:val="0"/>
                    <w:sz w:val="20"/>
                    <w:szCs w:val="20"/>
                    <w:lang w:val="de-DE" w:eastAsia="en-US" w:bidi="ar-SA"/>
                  </w:rPr>
                </w:r>
                <w:r>
                  <w:rPr>
                    <w:rFonts w:eastAsia="Source Sans Pro" w:cs="Arial"/>
                    <w:kern w:val="0"/>
                    <w:sz w:val="20"/>
                    <w:szCs w:val="20"/>
                    <w:lang w:val="de-DE" w:eastAsia="en-US" w:bidi="ar-SA"/>
                  </w:rPr>
                  <w:t>Name, Vorname Projektverantwortung</w:t>
                </w:r>
              </w:sdtContent>
            </w:sdt>
          </w:p>
          <w:p>
            <w:pPr>
              <w:pStyle w:val="Normal"/>
              <w:widowControl/>
              <w:spacing w:lineRule="auto" w:line="259" w:before="0" w:after="120"/>
              <w:jc w:val="start"/>
              <w:rPr>
                <w:sz w:val="20"/>
                <w:szCs w:val="20"/>
              </w:rPr>
            </w:pPr>
            <w:r>
              <w:rPr>
                <w:rFonts w:eastAsia="Source Sans Pro" w:cs="Arial"/>
                <w:kern w:val="0"/>
                <w:sz w:val="20"/>
                <w:szCs w:val="20"/>
                <w:lang w:val="de-DE" w:eastAsia="en-US" w:bidi="ar-SA"/>
              </w:rPr>
              <w:t>Funktion innerhalb der antragstellenden Institution</w:t>
            </w:r>
          </w:p>
        </w:tc>
        <w:tc>
          <w:tcPr>
            <w:tcW w:w="6378" w:type="dxa"/>
            <w:gridSpan w:val="6"/>
            <w:tcBorders>
              <w:top w:val="single" w:sz="4" w:space="0" w:color="D9D9D9"/>
              <w:start w:val="single" w:sz="4" w:space="0" w:color="D9D9D9"/>
              <w:bottom w:val="single" w:sz="4" w:space="0" w:color="D9D9D9"/>
              <w:end w:val="single" w:sz="4" w:space="0" w:color="808080"/>
            </w:tcBorders>
          </w:tcPr>
          <w:p>
            <w:pPr>
              <w:pStyle w:val="Normal"/>
              <w:widowControl/>
              <w:spacing w:lineRule="auto" w:line="259" w:before="0" w:after="120"/>
              <w:jc w:val="start"/>
              <w:rPr>
                <w:sz w:val="20"/>
                <w:szCs w:val="20"/>
              </w:rPr>
            </w:pPr>
            <w:r>
              <w:rPr>
                <w:rFonts w:eastAsia="Source Sans Pro" w:cs="Arial"/>
                <w:kern w:val="0"/>
                <w:sz w:val="20"/>
                <w:szCs w:val="20"/>
                <w:lang w:val="de-DE" w:eastAsia="en-US" w:bidi="ar-SA"/>
              </w:rPr>
              <w:t>Prof. Dr. Van Laerhoven, Kristof</w:t>
              <w:br/>
              <w:t>Lehrstuhl für Ubiquitous Computing</w:t>
            </w:r>
          </w:p>
        </w:tc>
      </w:tr>
      <w:tr>
        <w:trPr>
          <w:trHeight w:val="397" w:hRule="atLeast"/>
        </w:trPr>
        <w:tc>
          <w:tcPr>
            <w:tcW w:w="2976" w:type="dxa"/>
            <w:tcBorders>
              <w:top w:val="single" w:sz="4" w:space="0" w:color="D9D9D9"/>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120"/>
              <w:jc w:val="start"/>
              <w:rPr>
                <w:sz w:val="20"/>
                <w:szCs w:val="20"/>
              </w:rPr>
            </w:pPr>
            <w:sdt>
              <w:sdtPr>
                <w:placeholder>
                  <w:docPart w:val="DefaultPlaceholder_-1854013440"/>
                </w:placeholder>
                <w:id w:val="-1511288033"/>
                <w:lock w:val="sdtContentLocked"/>
                <w:text/>
              </w:sdtPr>
              <w:sdtContent>
                <w:r>
                  <w:rPr>
                    <w:rFonts w:eastAsia="Source Sans Pro" w:cs="Arial"/>
                    <w:kern w:val="0"/>
                    <w:sz w:val="20"/>
                    <w:szCs w:val="20"/>
                    <w:lang w:val="de-DE" w:eastAsia="en-US" w:bidi="ar-SA"/>
                  </w:rPr>
                </w:r>
                <w:r>
                  <w:rPr>
                    <w:rFonts w:eastAsia="Source Sans Pro" w:cs="Arial"/>
                    <w:kern w:val="0"/>
                    <w:sz w:val="20"/>
                    <w:szCs w:val="20"/>
                    <w:lang w:val="de-DE" w:eastAsia="en-US" w:bidi="ar-SA"/>
                  </w:rPr>
                  <w:t>Bewilligungszeitraum (von – bis)</w:t>
                </w:r>
              </w:sdtContent>
            </w:sdt>
          </w:p>
        </w:tc>
        <w:tc>
          <w:tcPr>
            <w:tcW w:w="3118" w:type="dxa"/>
            <w:tcBorders>
              <w:top w:val="single" w:sz="4" w:space="0" w:color="D9D9D9"/>
              <w:start w:val="single" w:sz="4" w:space="0" w:color="D9D9D9"/>
              <w:bottom w:val="single" w:sz="4" w:space="0" w:color="D9D9D9"/>
              <w:end w:val="single" w:sz="4" w:space="0" w:color="D9D9D9"/>
            </w:tcBorders>
            <w:vAlign w:val="center"/>
          </w:tcPr>
          <w:p>
            <w:pPr>
              <w:pStyle w:val="Normal"/>
              <w:widowControl/>
              <w:spacing w:lineRule="auto" w:line="259" w:before="0" w:after="120"/>
              <w:jc w:val="center"/>
              <w:rPr>
                <w:color w:themeColor="text1" w:val="000000"/>
                <w:sz w:val="20"/>
                <w:szCs w:val="20"/>
              </w:rPr>
            </w:pPr>
            <w:sdt>
              <w:sdtPr>
                <w:placeholder>
                  <w:docPart w:val="D651B552179147F58886A2E7B8A3AFFD"/>
                </w:placeholder>
                <w:id w:val="793639574"/>
                <w:date w:fullDate="2026-05-01T00:00:00Z">
                  <w:dateFormat w:val="dd.MM.yyyy"/>
                  <w:lid w:val="de-DE"/>
                </w:date>
              </w:sdtPr>
              <w:sdtContent>
                <w:r>
                  <w:rPr>
                    <w:rStyle w:val="Formatvorlage1"/>
                    <w:rFonts w:eastAsia="Source Sans Pro" w:cs="Arial"/>
                    <w:kern w:val="0"/>
                    <w:szCs w:val="20"/>
                    <w:lang w:val="de-DE" w:eastAsia="en-US" w:bidi="ar-SA"/>
                  </w:rPr>
                </w:r>
                <w:r>
                  <w:rPr>
                    <w:rStyle w:val="Formatvorlage1"/>
                    <w:rFonts w:eastAsia="Source Sans Pro" w:cs="Arial"/>
                    <w:kern w:val="0"/>
                    <w:szCs w:val="20"/>
                    <w:lang w:val="de-DE" w:eastAsia="en-US" w:bidi="ar-SA"/>
                  </w:rPr>
                  <w:t>01.05.2026</w:t>
                </w:r>
              </w:sdtContent>
            </w:sdt>
          </w:p>
        </w:tc>
        <w:tc>
          <w:tcPr>
            <w:tcW w:w="3260" w:type="dxa"/>
            <w:gridSpan w:val="5"/>
            <w:tcBorders>
              <w:top w:val="single" w:sz="4" w:space="0" w:color="D9D9D9"/>
              <w:start w:val="single" w:sz="4" w:space="0" w:color="D9D9D9"/>
              <w:bottom w:val="single" w:sz="4" w:space="0" w:color="D9D9D9"/>
            </w:tcBorders>
            <w:vAlign w:val="center"/>
          </w:tcPr>
          <w:p>
            <w:pPr>
              <w:pStyle w:val="Normal"/>
              <w:widowControl/>
              <w:spacing w:lineRule="auto" w:line="259" w:before="0" w:after="120"/>
              <w:jc w:val="center"/>
              <w:rPr>
                <w:rStyle w:val="Formatvorlage4"/>
                <w:szCs w:val="20"/>
              </w:rPr>
            </w:pPr>
            <w:sdt>
              <w:sdtPr>
                <w:placeholder>
                  <w:docPart w:val="7BFA5F1237994FAAB69B6001EDB9E4DF"/>
                </w:placeholder>
                <w:id w:val="-1492329047"/>
                <w:date w:fullDate="2029-12-31T00:00:00Z">
                  <w:dateFormat w:val="dd.MM.yyyy"/>
                  <w:lid w:val="de-DE"/>
                </w:date>
              </w:sdtPr>
              <w:sdtContent>
                <w:r>
                  <w:rPr>
                    <w:rStyle w:val="Formatvorlage1"/>
                    <w:rFonts w:eastAsia="Source Sans Pro" w:cs="Arial"/>
                    <w:kern w:val="0"/>
                    <w:szCs w:val="20"/>
                    <w:lang w:val="de-DE" w:eastAsia="en-US" w:bidi="ar-SA"/>
                  </w:rPr>
                </w:r>
                <w:r>
                  <w:rPr>
                    <w:rStyle w:val="Formatvorlage1"/>
                    <w:rFonts w:eastAsia="Source Sans Pro" w:cs="Arial"/>
                    <w:kern w:val="0"/>
                    <w:szCs w:val="20"/>
                    <w:lang w:val="de-DE" w:eastAsia="en-US" w:bidi="ar-SA"/>
                  </w:rPr>
                  <w:t>31.12.2029</w:t>
                </w:r>
              </w:sdtContent>
            </w:sdt>
          </w:p>
        </w:tc>
      </w:tr>
      <w:tr>
        <w:trPr>
          <w:trHeight w:val="397" w:hRule="atLeast"/>
        </w:trPr>
        <w:tc>
          <w:tcPr>
            <w:tcW w:w="6804" w:type="dxa"/>
            <w:gridSpan w:val="3"/>
            <w:tcBorders>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120"/>
              <w:jc w:val="start"/>
              <w:rPr>
                <w:rStyle w:val="Formatvorlage2"/>
                <w:rFonts w:ascii="Source Sans Pro" w:hAnsi="Source Sans Pro" w:asciiTheme="minorHAnsi" w:hAnsiTheme="minorHAnsi"/>
                <w:sz w:val="20"/>
                <w:szCs w:val="20"/>
              </w:rPr>
            </w:pPr>
            <w:sdt>
              <w:sdtPr>
                <w:placeholder>
                  <w:docPart w:val="DefaultPlaceholder_-1854013440"/>
                </w:placeholder>
                <w:id w:val="148181073"/>
                <w:lock w:val="sdtContentLocked"/>
                <w:text/>
              </w:sdtPr>
              <w:sdtContent>
                <w:r>
                  <w:rPr>
                    <w:rFonts w:eastAsia="Source Sans Pro" w:cs="Arial"/>
                    <w:kern w:val="0"/>
                    <w:sz w:val="20"/>
                    <w:szCs w:val="20"/>
                    <w:lang w:val="de-DE" w:eastAsia="en-US" w:bidi="ar-SA"/>
                  </w:rPr>
                </w:r>
                <w:r>
                  <w:rPr>
                    <w:rFonts w:eastAsia="Source Sans Pro" w:cs="Arial"/>
                    <w:kern w:val="0"/>
                    <w:sz w:val="20"/>
                    <w:szCs w:val="20"/>
                    <w:lang w:val="de-DE" w:eastAsia="en-US" w:bidi="ar-SA"/>
                  </w:rPr>
                  <w:t>Wurde ein Projektantrag in einem weiteren Förderprogramm des DAAD für denselben Zweck gestellt?</w:t>
                </w:r>
              </w:sdtContent>
            </w:sdt>
          </w:p>
        </w:tc>
        <w:tc>
          <w:tcPr>
            <w:tcW w:w="637" w:type="dxa"/>
            <w:tcBorders>
              <w:start w:val="single" w:sz="4" w:space="0" w:color="D9D9D9"/>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120"/>
              <w:jc w:val="start"/>
              <w:rPr>
                <w:rStyle w:val="Formatvorlage2"/>
                <w:rFonts w:ascii="Source Sans Pro" w:hAnsi="Source Sans Pro" w:asciiTheme="minorHAnsi" w:hAnsiTheme="minorHAnsi"/>
                <w:sz w:val="20"/>
                <w:szCs w:val="20"/>
              </w:rPr>
            </w:pPr>
            <w:sdt>
              <w:sdtPr>
                <w:placeholder>
                  <w:docPart w:val="1F8D0A11F64D44EFBDCA1C13D8C76AA7"/>
                </w:placeholder>
                <w:id w:val="-896665034"/>
                <w:lock w:val="sdtContentLocked"/>
                <w:text/>
              </w:sdtPr>
              <w:sdtContent>
                <w:r>
                  <w:rPr>
                    <w:rStyle w:val="Formatvorlage2"/>
                    <w:rFonts w:eastAsia="Source Sans Pro" w:cs="Arial"/>
                    <w:kern w:val="0"/>
                    <w:sz w:val="20"/>
                    <w:szCs w:val="20"/>
                    <w:lang w:val="de-DE" w:eastAsia="en-US" w:bidi="ar-SA"/>
                  </w:rPr>
                </w:r>
                <w:r>
                  <w:rPr>
                    <w:rStyle w:val="Formatvorlage2"/>
                    <w:rFonts w:eastAsia="Source Sans Pro" w:cs="Arial"/>
                    <w:kern w:val="0"/>
                    <w:sz w:val="20"/>
                    <w:szCs w:val="20"/>
                    <w:lang w:val="de-DE" w:eastAsia="en-US" w:bidi="ar-SA"/>
                  </w:rPr>
                  <w:t xml:space="preserve">ja </w:t>
                </w:r>
              </w:sdtContent>
            </w:sdt>
          </w:p>
        </w:tc>
        <w:tc>
          <w:tcPr>
            <w:tcW w:w="638" w:type="dxa"/>
            <w:tcBorders>
              <w:start w:val="single" w:sz="4" w:space="0" w:color="D9D9D9"/>
              <w:bottom w:val="single" w:sz="4" w:space="0" w:color="D9D9D9"/>
              <w:end w:val="single" w:sz="4" w:space="0" w:color="D9D9D9"/>
            </w:tcBorders>
            <w:vAlign w:val="center"/>
          </w:tcPr>
          <w:p>
            <w:pPr>
              <w:pStyle w:val="Normal"/>
              <w:widowControl/>
              <w:spacing w:lineRule="auto" w:line="259" w:before="0" w:after="120"/>
              <w:jc w:val="center"/>
              <w:rPr>
                <w:rStyle w:val="Formatvorlage2"/>
                <w:rFonts w:ascii="Source Sans Pro" w:hAnsi="Source Sans Pro" w:asciiTheme="minorHAnsi" w:hAnsiTheme="minorHAnsi"/>
                <w:sz w:val="20"/>
                <w:szCs w:val="20"/>
              </w:rPr>
            </w:pPr>
            <w:sdt>
              <w:sdtPr>
                <w:id w:val="716324542"/>
                <w14:checkbox>
                  <w14:checked w14:val="0"/>
                  <w14:checkedState w14:val="2612"/>
                  <w14:uncheckedState w14:val="2610"/>
                </w14:checkbox>
              </w:sdtPr>
              <w:sdtContent>
                <w:r>
                  <w:rPr>
                    <w:rStyle w:val="Formatvorlage2"/>
                    <w:rFonts w:eastAsia="MS Gothic" w:cs="Arial" w:ascii="MS Gothic" w:hAnsi="MS Gothic"/>
                    <w:kern w:val="0"/>
                    <w:sz w:val="20"/>
                    <w:szCs w:val="20"/>
                    <w:lang w:val="de-DE" w:eastAsia="en-US" w:bidi="ar-SA"/>
                  </w:rPr>
                </w:r>
                <w:r>
                  <w:rPr>
                    <w:rStyle w:val="Formatvorlage2"/>
                    <w:rFonts w:eastAsia="MS Gothic" w:cs="Arial" w:ascii="MS Gothic" w:hAnsi="MS Gothic"/>
                    <w:kern w:val="0"/>
                    <w:sz w:val="20"/>
                    <w:szCs w:val="20"/>
                    <w:lang w:val="de-DE" w:eastAsia="en-US" w:bidi="ar-SA"/>
                  </w:rPr>
                  <w:t>☐</w:t>
                </w:r>
              </w:sdtContent>
            </w:sdt>
          </w:p>
        </w:tc>
        <w:tc>
          <w:tcPr>
            <w:tcW w:w="636" w:type="dxa"/>
            <w:tcBorders>
              <w:start w:val="single" w:sz="4" w:space="0" w:color="D9D9D9"/>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120"/>
              <w:jc w:val="start"/>
              <w:rPr>
                <w:rStyle w:val="Formatvorlage2"/>
                <w:rFonts w:ascii="Source Sans Pro" w:hAnsi="Source Sans Pro" w:asciiTheme="minorHAnsi" w:hAnsiTheme="minorHAnsi"/>
                <w:sz w:val="20"/>
                <w:szCs w:val="20"/>
              </w:rPr>
            </w:pPr>
            <w:sdt>
              <w:sdtPr>
                <w:placeholder>
                  <w:docPart w:val="DefaultPlaceholder_-1854013440"/>
                </w:placeholder>
                <w:id w:val="1582943414"/>
                <w:lock w:val="sdtContentLocked"/>
                <w:text/>
              </w:sdtPr>
              <w:sdtContent>
                <w:r>
                  <w:rPr>
                    <w:rStyle w:val="Formatvorlage2"/>
                    <w:rFonts w:eastAsia="Source Sans Pro" w:cs="Arial"/>
                    <w:kern w:val="0"/>
                    <w:sz w:val="20"/>
                    <w:szCs w:val="20"/>
                    <w:lang w:val="de-DE" w:eastAsia="en-US" w:bidi="ar-SA"/>
                  </w:rPr>
                </w:r>
                <w:r>
                  <w:rPr>
                    <w:rStyle w:val="Formatvorlage2"/>
                    <w:rFonts w:eastAsia="Source Sans Pro" w:cs="Arial"/>
                    <w:kern w:val="0"/>
                    <w:sz w:val="20"/>
                    <w:szCs w:val="20"/>
                    <w:lang w:val="de-DE" w:eastAsia="en-US" w:bidi="ar-SA"/>
                  </w:rPr>
                  <w:t xml:space="preserve">nein </w:t>
                </w:r>
              </w:sdtContent>
            </w:sdt>
          </w:p>
        </w:tc>
        <w:tc>
          <w:tcPr>
            <w:tcW w:w="639" w:type="dxa"/>
            <w:tcBorders>
              <w:start w:val="single" w:sz="4" w:space="0" w:color="D9D9D9"/>
              <w:bottom w:val="single" w:sz="4" w:space="0" w:color="D9D9D9"/>
            </w:tcBorders>
            <w:vAlign w:val="center"/>
          </w:tcPr>
          <w:p>
            <w:pPr>
              <w:pStyle w:val="Normal"/>
              <w:widowControl/>
              <w:spacing w:lineRule="auto" w:line="259" w:before="0" w:after="120"/>
              <w:jc w:val="center"/>
              <w:rPr>
                <w:rStyle w:val="Formatvorlage2"/>
                <w:rFonts w:ascii="Source Sans Pro" w:hAnsi="Source Sans Pro" w:asciiTheme="minorHAnsi" w:hAnsiTheme="minorHAnsi"/>
                <w:sz w:val="20"/>
                <w:szCs w:val="20"/>
              </w:rPr>
            </w:pPr>
            <w:sdt>
              <w:sdtPr>
                <w:id w:val="1531219555"/>
                <w14:checkbox>
                  <w14:checked w14:val="1"/>
                  <w14:checkedState w14:val="2612"/>
                  <w14:uncheckedState w14:val="2610"/>
                </w14:checkbox>
              </w:sdtPr>
              <w:sdtContent>
                <w:r>
                  <w:rPr>
                    <w:rStyle w:val="Formatvorlage2"/>
                    <w:rFonts w:eastAsia="MS Gothic" w:cs="Arial" w:ascii="MS Gothic" w:hAnsi="MS Gothic"/>
                    <w:kern w:val="0"/>
                    <w:sz w:val="20"/>
                    <w:szCs w:val="20"/>
                    <w:lang w:val="de-DE" w:eastAsia="en-US" w:bidi="ar-SA"/>
                  </w:rPr>
                </w:r>
                <w:r>
                  <w:rPr>
                    <w:rStyle w:val="Formatvorlage2"/>
                    <w:rFonts w:eastAsia="MS Gothic" w:cs="Arial" w:ascii="MS Gothic" w:hAnsi="MS Gothic"/>
                    <w:kern w:val="0"/>
                    <w:sz w:val="20"/>
                    <w:szCs w:val="20"/>
                    <w:lang w:val="de-DE" w:eastAsia="en-US" w:bidi="ar-SA"/>
                  </w:rPr>
                  <w:t>☒</w:t>
                </w:r>
              </w:sdtContent>
            </w:sdt>
          </w:p>
        </w:tc>
      </w:tr>
      <w:tr>
        <w:trPr>
          <w:trHeight w:val="397" w:hRule="atLeast"/>
        </w:trPr>
        <w:tc>
          <w:tcPr>
            <w:tcW w:w="2976" w:type="dxa"/>
            <w:tcBorders>
              <w:top w:val="single" w:sz="4" w:space="0" w:color="D9D9D9"/>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120"/>
              <w:jc w:val="start"/>
              <w:rPr>
                <w:sz w:val="20"/>
                <w:szCs w:val="20"/>
              </w:rPr>
            </w:pPr>
            <w:sdt>
              <w:sdtPr>
                <w:placeholder>
                  <w:docPart w:val="DefaultPlaceholder_-1854013440"/>
                </w:placeholder>
                <w:id w:val="-689295298"/>
                <w:lock w:val="sdtContentLocked"/>
                <w:text/>
              </w:sdtPr>
              <w:sdtContent>
                <w:r>
                  <w:rPr>
                    <w:rFonts w:eastAsia="Source Sans Pro" w:cs="Arial"/>
                    <w:kern w:val="0"/>
                    <w:sz w:val="20"/>
                    <w:szCs w:val="20"/>
                    <w:lang w:val="de-DE" w:eastAsia="en-US" w:bidi="ar-SA"/>
                  </w:rPr>
                </w:r>
                <w:r>
                  <w:rPr>
                    <w:rFonts w:eastAsia="Source Sans Pro" w:cs="Arial"/>
                    <w:kern w:val="0"/>
                    <w:sz w:val="20"/>
                    <w:szCs w:val="20"/>
                    <w:lang w:val="de-DE" w:eastAsia="en-US" w:bidi="ar-SA"/>
                  </w:rPr>
                  <w:t>Wenn ja, in welchem?</w:t>
                </w:r>
              </w:sdtContent>
            </w:sdt>
          </w:p>
        </w:tc>
        <w:tc>
          <w:tcPr>
            <w:tcW w:w="6378" w:type="dxa"/>
            <w:gridSpan w:val="6"/>
            <w:tcBorders>
              <w:top w:val="single" w:sz="4" w:space="0" w:color="D9D9D9"/>
              <w:start w:val="single" w:sz="4" w:space="0" w:color="D9D9D9"/>
              <w:bottom w:val="single" w:sz="4" w:space="0" w:color="D9D9D9"/>
            </w:tcBorders>
          </w:tcPr>
          <w:p>
            <w:pPr>
              <w:pStyle w:val="Normal"/>
              <w:widowControl/>
              <w:spacing w:lineRule="auto" w:line="259" w:before="0" w:after="120"/>
              <w:jc w:val="start"/>
              <w:rPr>
                <w:rStyle w:val="Formatvorlage2"/>
                <w:rFonts w:ascii="Source Sans Pro" w:hAnsi="Source Sans Pro" w:asciiTheme="minorHAnsi" w:hAnsiTheme="minorHAnsi"/>
                <w:sz w:val="20"/>
                <w:szCs w:val="20"/>
              </w:rPr>
            </w:pPr>
            <w:r>
              <w:rPr>
                <w:rFonts w:eastAsia="Source Sans Pro" w:cs="Arial"/>
                <w:kern w:val="0"/>
                <w:sz w:val="20"/>
                <w:szCs w:val="20"/>
                <w:lang w:val="de-DE" w:eastAsia="en-US" w:bidi="ar-SA"/>
              </w:rPr>
            </w:r>
          </w:p>
        </w:tc>
      </w:tr>
      <w:tr>
        <w:trPr>
          <w:trHeight w:val="397" w:hRule="atLeast"/>
        </w:trPr>
        <w:tc>
          <w:tcPr>
            <w:tcW w:w="6804" w:type="dxa"/>
            <w:gridSpan w:val="3"/>
            <w:tcBorders>
              <w:top w:val="single" w:sz="4" w:space="0" w:color="D9D9D9"/>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120"/>
              <w:jc w:val="start"/>
              <w:rPr>
                <w:rStyle w:val="Formatvorlage2"/>
                <w:rFonts w:ascii="Source Sans Pro" w:hAnsi="Source Sans Pro" w:asciiTheme="minorHAnsi" w:hAnsiTheme="minorHAnsi"/>
                <w:sz w:val="20"/>
                <w:szCs w:val="20"/>
              </w:rPr>
            </w:pPr>
            <w:sdt>
              <w:sdtPr>
                <w:placeholder>
                  <w:docPart w:val="DefaultPlaceholder_-1854013440"/>
                </w:placeholder>
                <w:id w:val="1306818427"/>
                <w:lock w:val="sdtContentLocked"/>
                <w:text/>
              </w:sdtPr>
              <w:sdtContent>
                <w:r>
                  <w:rPr>
                    <w:rFonts w:eastAsia="Source Sans Pro" w:cs="Arial"/>
                    <w:kern w:val="0"/>
                    <w:sz w:val="20"/>
                    <w:szCs w:val="20"/>
                    <w:lang w:val="de-DE" w:eastAsia="en-US" w:bidi="ar-SA"/>
                  </w:rPr>
                </w:r>
                <w:r>
                  <w:rPr>
                    <w:rFonts w:eastAsia="Source Sans Pro" w:cs="Arial"/>
                    <w:kern w:val="0"/>
                    <w:sz w:val="20"/>
                    <w:szCs w:val="20"/>
                    <w:lang w:val="de-DE" w:eastAsia="en-US" w:bidi="ar-SA"/>
                  </w:rPr>
                  <w:t>Wurde ein Projektantrag bei einer anderen Förderorganisation oder öffentlichen Stelle für denselben Zweck gestellt?</w:t>
                </w:r>
              </w:sdtContent>
            </w:sdt>
          </w:p>
        </w:tc>
        <w:tc>
          <w:tcPr>
            <w:tcW w:w="637" w:type="dxa"/>
            <w:tcBorders>
              <w:top w:val="single" w:sz="4" w:space="0" w:color="D9D9D9"/>
              <w:start w:val="single" w:sz="4" w:space="0" w:color="D9D9D9"/>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120"/>
              <w:jc w:val="start"/>
              <w:rPr>
                <w:rStyle w:val="Formatvorlage2"/>
                <w:rFonts w:ascii="Source Sans Pro" w:hAnsi="Source Sans Pro" w:asciiTheme="minorHAnsi" w:hAnsiTheme="minorHAnsi"/>
                <w:sz w:val="20"/>
                <w:szCs w:val="20"/>
              </w:rPr>
            </w:pPr>
            <w:sdt>
              <w:sdtPr>
                <w:placeholder>
                  <w:docPart w:val="590D25F7E9894621B571ED0032B533AD"/>
                </w:placeholder>
                <w:id w:val="-1236924765"/>
                <w:lock w:val="sdtContentLocked"/>
                <w:text/>
              </w:sdtPr>
              <w:sdtContent>
                <w:r>
                  <w:rPr>
                    <w:rStyle w:val="Formatvorlage2"/>
                    <w:rFonts w:eastAsia="Source Sans Pro" w:cs="Arial"/>
                    <w:kern w:val="0"/>
                    <w:sz w:val="20"/>
                    <w:szCs w:val="20"/>
                    <w:lang w:val="de-DE" w:eastAsia="en-US" w:bidi="ar-SA"/>
                  </w:rPr>
                </w:r>
                <w:r>
                  <w:rPr>
                    <w:rStyle w:val="Formatvorlage2"/>
                    <w:rFonts w:eastAsia="Source Sans Pro" w:cs="Arial"/>
                    <w:kern w:val="0"/>
                    <w:sz w:val="20"/>
                    <w:szCs w:val="20"/>
                    <w:lang w:val="de-DE" w:eastAsia="en-US" w:bidi="ar-SA"/>
                  </w:rPr>
                  <w:t xml:space="preserve">ja </w:t>
                </w:r>
              </w:sdtContent>
            </w:sdt>
          </w:p>
        </w:tc>
        <w:tc>
          <w:tcPr>
            <w:tcW w:w="638" w:type="dxa"/>
            <w:tcBorders>
              <w:top w:val="single" w:sz="4" w:space="0" w:color="D9D9D9"/>
              <w:start w:val="single" w:sz="4" w:space="0" w:color="D9D9D9"/>
              <w:bottom w:val="single" w:sz="4" w:space="0" w:color="D9D9D9"/>
              <w:end w:val="single" w:sz="4" w:space="0" w:color="D9D9D9"/>
            </w:tcBorders>
            <w:vAlign w:val="center"/>
          </w:tcPr>
          <w:p>
            <w:pPr>
              <w:pStyle w:val="Normal"/>
              <w:widowControl/>
              <w:spacing w:lineRule="auto" w:line="259" w:before="0" w:after="120"/>
              <w:jc w:val="center"/>
              <w:rPr>
                <w:rStyle w:val="Formatvorlage2"/>
                <w:rFonts w:ascii="Source Sans Pro" w:hAnsi="Source Sans Pro" w:asciiTheme="minorHAnsi" w:hAnsiTheme="minorHAnsi"/>
                <w:sz w:val="20"/>
                <w:szCs w:val="20"/>
              </w:rPr>
            </w:pPr>
            <w:sdt>
              <w:sdtPr>
                <w:id w:val="-1562703443"/>
                <w14:checkbox>
                  <w14:checked w14:val="0"/>
                  <w14:checkedState w14:val="2612"/>
                  <w14:uncheckedState w14:val="2610"/>
                </w14:checkbox>
              </w:sdtPr>
              <w:sdtContent>
                <w:r>
                  <w:rPr>
                    <w:rStyle w:val="Formatvorlage2"/>
                    <w:rFonts w:eastAsia="MS Gothic" w:cs="Arial" w:ascii="MS Gothic" w:hAnsi="MS Gothic"/>
                    <w:kern w:val="0"/>
                    <w:sz w:val="20"/>
                    <w:szCs w:val="20"/>
                    <w:lang w:val="de-DE" w:eastAsia="en-US" w:bidi="ar-SA"/>
                  </w:rPr>
                </w:r>
                <w:r>
                  <w:rPr>
                    <w:rStyle w:val="Formatvorlage2"/>
                    <w:rFonts w:eastAsia="MS Gothic" w:cs="Arial" w:ascii="MS Gothic" w:hAnsi="MS Gothic"/>
                    <w:kern w:val="0"/>
                    <w:sz w:val="20"/>
                    <w:szCs w:val="20"/>
                    <w:lang w:val="de-DE" w:eastAsia="en-US" w:bidi="ar-SA"/>
                  </w:rPr>
                  <w:t>☐</w:t>
                </w:r>
              </w:sdtContent>
            </w:sdt>
          </w:p>
        </w:tc>
        <w:tc>
          <w:tcPr>
            <w:tcW w:w="636" w:type="dxa"/>
            <w:tcBorders>
              <w:top w:val="single" w:sz="4" w:space="0" w:color="D9D9D9"/>
              <w:start w:val="single" w:sz="4" w:space="0" w:color="D9D9D9"/>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120"/>
              <w:jc w:val="start"/>
              <w:rPr>
                <w:rStyle w:val="Formatvorlage2"/>
                <w:rFonts w:ascii="Source Sans Pro" w:hAnsi="Source Sans Pro" w:asciiTheme="minorHAnsi" w:hAnsiTheme="minorHAnsi"/>
                <w:sz w:val="20"/>
                <w:szCs w:val="20"/>
              </w:rPr>
            </w:pPr>
            <w:sdt>
              <w:sdtPr>
                <w:placeholder>
                  <w:docPart w:val="DefaultPlaceholder_-1854013440"/>
                </w:placeholder>
                <w:id w:val="-1254810230"/>
                <w:lock w:val="sdtContentLocked"/>
                <w:text/>
              </w:sdtPr>
              <w:sdtContent>
                <w:r>
                  <w:rPr>
                    <w:rStyle w:val="Formatvorlage2"/>
                    <w:rFonts w:eastAsia="Source Sans Pro" w:cs="Arial"/>
                    <w:kern w:val="0"/>
                    <w:sz w:val="20"/>
                    <w:szCs w:val="20"/>
                    <w:lang w:val="de-DE" w:eastAsia="en-US" w:bidi="ar-SA"/>
                  </w:rPr>
                </w:r>
                <w:r>
                  <w:rPr>
                    <w:rStyle w:val="Formatvorlage2"/>
                    <w:rFonts w:eastAsia="Source Sans Pro" w:cs="Arial"/>
                    <w:kern w:val="0"/>
                    <w:sz w:val="20"/>
                    <w:szCs w:val="20"/>
                    <w:lang w:val="de-DE" w:eastAsia="en-US" w:bidi="ar-SA"/>
                  </w:rPr>
                  <w:t xml:space="preserve">nein </w:t>
                </w:r>
              </w:sdtContent>
            </w:sdt>
          </w:p>
        </w:tc>
        <w:tc>
          <w:tcPr>
            <w:tcW w:w="639" w:type="dxa"/>
            <w:tcBorders>
              <w:top w:val="single" w:sz="4" w:space="0" w:color="D9D9D9"/>
              <w:start w:val="single" w:sz="4" w:space="0" w:color="D9D9D9"/>
              <w:bottom w:val="single" w:sz="4" w:space="0" w:color="D9D9D9"/>
            </w:tcBorders>
            <w:vAlign w:val="center"/>
          </w:tcPr>
          <w:p>
            <w:pPr>
              <w:pStyle w:val="Normal"/>
              <w:widowControl/>
              <w:spacing w:lineRule="auto" w:line="259" w:before="0" w:after="120"/>
              <w:jc w:val="center"/>
              <w:rPr>
                <w:rStyle w:val="Formatvorlage2"/>
                <w:rFonts w:ascii="Source Sans Pro" w:hAnsi="Source Sans Pro" w:asciiTheme="minorHAnsi" w:hAnsiTheme="minorHAnsi"/>
                <w:sz w:val="20"/>
                <w:szCs w:val="20"/>
              </w:rPr>
            </w:pPr>
            <w:sdt>
              <w:sdtPr>
                <w:id w:val="1937863410"/>
                <w14:checkbox>
                  <w14:checked w14:val="1"/>
                  <w14:checkedState w14:val="2612"/>
                  <w14:uncheckedState w14:val="2610"/>
                </w14:checkbox>
              </w:sdtPr>
              <w:sdtContent>
                <w:r>
                  <w:rPr>
                    <w:rStyle w:val="Formatvorlage2"/>
                    <w:rFonts w:eastAsia="MS Gothic" w:cs="Arial" w:ascii="MS Gothic" w:hAnsi="MS Gothic"/>
                    <w:kern w:val="0"/>
                    <w:sz w:val="20"/>
                    <w:szCs w:val="20"/>
                    <w:lang w:val="de-DE" w:eastAsia="en-US" w:bidi="ar-SA"/>
                  </w:rPr>
                </w:r>
                <w:r>
                  <w:rPr>
                    <w:rStyle w:val="Formatvorlage2"/>
                    <w:rFonts w:eastAsia="MS Gothic" w:cs="Arial" w:ascii="MS Gothic" w:hAnsi="MS Gothic"/>
                    <w:kern w:val="0"/>
                    <w:sz w:val="20"/>
                    <w:szCs w:val="20"/>
                    <w:lang w:val="de-DE" w:eastAsia="en-US" w:bidi="ar-SA"/>
                  </w:rPr>
                  <w:t>☒</w:t>
                </w:r>
              </w:sdtContent>
            </w:sdt>
          </w:p>
        </w:tc>
      </w:tr>
      <w:tr>
        <w:trPr>
          <w:trHeight w:val="397" w:hRule="atLeast"/>
        </w:trPr>
        <w:tc>
          <w:tcPr>
            <w:tcW w:w="2976" w:type="dxa"/>
            <w:tcBorders>
              <w:top w:val="single" w:sz="4" w:space="0" w:color="D9D9D9"/>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120"/>
              <w:jc w:val="start"/>
              <w:rPr>
                <w:sz w:val="20"/>
                <w:szCs w:val="20"/>
              </w:rPr>
            </w:pPr>
            <w:sdt>
              <w:sdtPr>
                <w:placeholder>
                  <w:docPart w:val="DefaultPlaceholder_-1854013440"/>
                </w:placeholder>
                <w:id w:val="-111055518"/>
                <w:lock w:val="sdtContentLocked"/>
                <w:text/>
              </w:sdtPr>
              <w:sdtContent>
                <w:r>
                  <w:rPr>
                    <w:rFonts w:eastAsia="Source Sans Pro" w:cs="Arial"/>
                    <w:kern w:val="0"/>
                    <w:sz w:val="20"/>
                    <w:szCs w:val="20"/>
                    <w:lang w:val="de-DE" w:eastAsia="en-US" w:bidi="ar-SA"/>
                  </w:rPr>
                </w:r>
                <w:r>
                  <w:rPr>
                    <w:rFonts w:eastAsia="Source Sans Pro" w:cs="Arial"/>
                    <w:kern w:val="0"/>
                    <w:sz w:val="20"/>
                    <w:szCs w:val="20"/>
                    <w:lang w:val="de-DE" w:eastAsia="en-US" w:bidi="ar-SA"/>
                  </w:rPr>
                  <w:t>Wenn ja, bei welcher?</w:t>
                </w:r>
              </w:sdtContent>
            </w:sdt>
          </w:p>
        </w:tc>
        <w:tc>
          <w:tcPr>
            <w:tcW w:w="6378" w:type="dxa"/>
            <w:gridSpan w:val="6"/>
            <w:tcBorders>
              <w:top w:val="single" w:sz="4" w:space="0" w:color="D9D9D9"/>
              <w:start w:val="single" w:sz="4" w:space="0" w:color="D9D9D9"/>
              <w:bottom w:val="single" w:sz="4" w:space="0" w:color="D9D9D9"/>
            </w:tcBorders>
          </w:tcPr>
          <w:p>
            <w:pPr>
              <w:pStyle w:val="Normal"/>
              <w:widowControl/>
              <w:spacing w:lineRule="auto" w:line="259" w:before="0" w:after="120"/>
              <w:jc w:val="start"/>
              <w:rPr>
                <w:rStyle w:val="Formatvorlage2"/>
                <w:rFonts w:ascii="Source Sans Pro" w:hAnsi="Source Sans Pro" w:asciiTheme="minorHAnsi" w:hAnsiTheme="minorHAnsi"/>
                <w:sz w:val="20"/>
                <w:szCs w:val="20"/>
              </w:rPr>
            </w:pPr>
            <w:r>
              <w:rPr>
                <w:rFonts w:eastAsia="Source Sans Pro" w:cs="Arial"/>
                <w:kern w:val="0"/>
                <w:sz w:val="20"/>
                <w:szCs w:val="20"/>
                <w:lang w:val="de-DE" w:eastAsia="en-US" w:bidi="ar-SA"/>
              </w:rPr>
            </w:r>
          </w:p>
        </w:tc>
      </w:tr>
      <w:tr>
        <w:trPr>
          <w:trHeight w:val="397" w:hRule="atLeast"/>
        </w:trPr>
        <w:tc>
          <w:tcPr>
            <w:tcW w:w="6804" w:type="dxa"/>
            <w:gridSpan w:val="3"/>
            <w:tcBorders>
              <w:top w:val="single" w:sz="4" w:space="0" w:color="D9D9D9"/>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120"/>
              <w:jc w:val="start"/>
              <w:rPr>
                <w:rStyle w:val="Formatvorlage2"/>
                <w:rFonts w:ascii="Source Sans Pro" w:hAnsi="Source Sans Pro" w:asciiTheme="minorHAnsi" w:hAnsiTheme="minorHAnsi"/>
                <w:sz w:val="20"/>
                <w:szCs w:val="20"/>
              </w:rPr>
            </w:pPr>
            <w:sdt>
              <w:sdtPr>
                <w:placeholder>
                  <w:docPart w:val="CC1D1F20ECE4459C8B7AC499E5308CF3"/>
                </w:placeholder>
                <w:id w:val="-119454243"/>
                <w:lock w:val="contentLocked"/>
                <w:text/>
              </w:sdtPr>
              <w:sdtContent>
                <w:r>
                  <w:rPr>
                    <w:rFonts w:eastAsia="Source Sans Pro" w:cs="Arial"/>
                    <w:kern w:val="0"/>
                    <w:sz w:val="20"/>
                    <w:szCs w:val="20"/>
                    <w:lang w:val="de-DE" w:eastAsia="en-US" w:bidi="ar-SA"/>
                  </w:rPr>
                </w:r>
                <w:r>
                  <w:rPr>
                    <w:rFonts w:eastAsia="Source Sans Pro" w:cs="Arial"/>
                    <w:kern w:val="0"/>
                    <w:sz w:val="20"/>
                    <w:szCs w:val="20"/>
                    <w:lang w:val="de-DE" w:eastAsia="en-US" w:bidi="ar-SA"/>
                  </w:rPr>
                  <w:t xml:space="preserve">Wurde </w:t>
                </w:r>
                <w:r>
                  <w:rPr>
                    <w:rFonts w:eastAsia="Source Sans Pro" w:cs="Arial"/>
                    <w:kern w:val="0"/>
                    <w:sz w:val="20"/>
                    <w:szCs w:val="20"/>
                    <w:shd w:fill="F2F2F2" w:val="clear"/>
                    <w:lang w:val="de-DE" w:eastAsia="en-US" w:bidi="ar-SA"/>
                  </w:rPr>
                  <w:t>dieser Projektantrag bereits beim DAAD eingereicht, jedoch abgelehnt</w:t>
                </w:r>
                <w:r>
                  <w:rPr>
                    <w:rFonts w:eastAsia="Source Sans Pro" w:cs="Arial"/>
                    <w:kern w:val="0"/>
                    <w:sz w:val="20"/>
                    <w:szCs w:val="20"/>
                    <w:lang w:val="de-DE" w:eastAsia="en-US" w:bidi="ar-SA"/>
                  </w:rPr>
                  <w:t>?</w:t>
                </w:r>
              </w:sdtContent>
            </w:sdt>
          </w:p>
        </w:tc>
        <w:tc>
          <w:tcPr>
            <w:tcW w:w="637" w:type="dxa"/>
            <w:tcBorders>
              <w:top w:val="single" w:sz="4" w:space="0" w:color="D9D9D9"/>
              <w:start w:val="single" w:sz="4" w:space="0" w:color="D9D9D9"/>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120"/>
              <w:jc w:val="start"/>
              <w:rPr>
                <w:rStyle w:val="Formatvorlage2"/>
                <w:rFonts w:ascii="Source Sans Pro" w:hAnsi="Source Sans Pro" w:asciiTheme="minorHAnsi" w:hAnsiTheme="minorHAnsi"/>
                <w:sz w:val="20"/>
                <w:szCs w:val="20"/>
              </w:rPr>
            </w:pPr>
            <w:sdt>
              <w:sdtPr>
                <w:placeholder>
                  <w:docPart w:val="956588EC1535484694D702DD0C79FB25"/>
                </w:placeholder>
                <w:id w:val="-2077509230"/>
                <w:lock w:val="contentLocked"/>
                <w:text/>
              </w:sdtPr>
              <w:sdtContent>
                <w:r>
                  <w:rPr>
                    <w:rStyle w:val="Formatvorlage2"/>
                    <w:rFonts w:eastAsia="Source Sans Pro" w:cs="Arial"/>
                    <w:kern w:val="0"/>
                    <w:sz w:val="20"/>
                    <w:szCs w:val="20"/>
                    <w:lang w:val="de-DE" w:eastAsia="en-US" w:bidi="ar-SA"/>
                  </w:rPr>
                </w:r>
                <w:r>
                  <w:rPr>
                    <w:rStyle w:val="Formatvorlage2"/>
                    <w:rFonts w:eastAsia="Source Sans Pro" w:cs="Arial"/>
                    <w:kern w:val="0"/>
                    <w:sz w:val="20"/>
                    <w:szCs w:val="20"/>
                    <w:lang w:val="de-DE" w:eastAsia="en-US" w:bidi="ar-SA"/>
                  </w:rPr>
                  <w:t xml:space="preserve">ja </w:t>
                </w:r>
              </w:sdtContent>
            </w:sdt>
          </w:p>
        </w:tc>
        <w:tc>
          <w:tcPr>
            <w:tcW w:w="638" w:type="dxa"/>
            <w:tcBorders>
              <w:top w:val="single" w:sz="4" w:space="0" w:color="D9D9D9"/>
              <w:start w:val="single" w:sz="4" w:space="0" w:color="D9D9D9"/>
              <w:bottom w:val="single" w:sz="4" w:space="0" w:color="D9D9D9"/>
              <w:end w:val="single" w:sz="4" w:space="0" w:color="D9D9D9"/>
            </w:tcBorders>
            <w:vAlign w:val="center"/>
          </w:tcPr>
          <w:p>
            <w:pPr>
              <w:pStyle w:val="Normal"/>
              <w:widowControl/>
              <w:spacing w:lineRule="auto" w:line="259" w:before="0" w:after="120"/>
              <w:jc w:val="center"/>
              <w:rPr>
                <w:rStyle w:val="Formatvorlage2"/>
                <w:rFonts w:ascii="Source Sans Pro" w:hAnsi="Source Sans Pro" w:asciiTheme="minorHAnsi" w:hAnsiTheme="minorHAnsi"/>
                <w:sz w:val="20"/>
                <w:szCs w:val="20"/>
              </w:rPr>
            </w:pPr>
            <w:sdt>
              <w:sdtPr>
                <w:id w:val="1946504640"/>
                <w14:checkbox>
                  <w14:checked w14:val="0"/>
                  <w14:checkedState w14:val="2612"/>
                  <w14:uncheckedState w14:val="2610"/>
                </w14:checkbox>
              </w:sdtPr>
              <w:sdtContent>
                <w:r>
                  <w:rPr>
                    <w:rStyle w:val="Formatvorlage2"/>
                    <w:rFonts w:eastAsia="MS Gothic" w:cs="Arial" w:ascii="MS Gothic" w:hAnsi="MS Gothic"/>
                    <w:kern w:val="0"/>
                    <w:sz w:val="20"/>
                    <w:szCs w:val="20"/>
                    <w:lang w:val="de-DE" w:eastAsia="en-US" w:bidi="ar-SA"/>
                  </w:rPr>
                </w:r>
                <w:r>
                  <w:rPr>
                    <w:rStyle w:val="Formatvorlage2"/>
                    <w:rFonts w:eastAsia="MS Gothic" w:cs="Arial" w:ascii="MS Gothic" w:hAnsi="MS Gothic"/>
                    <w:kern w:val="0"/>
                    <w:sz w:val="20"/>
                    <w:szCs w:val="20"/>
                    <w:lang w:val="de-DE" w:eastAsia="en-US" w:bidi="ar-SA"/>
                  </w:rPr>
                  <w:t>☐</w:t>
                </w:r>
              </w:sdtContent>
            </w:sdt>
          </w:p>
        </w:tc>
        <w:tc>
          <w:tcPr>
            <w:tcW w:w="636" w:type="dxa"/>
            <w:tcBorders>
              <w:top w:val="single" w:sz="4" w:space="0" w:color="D9D9D9"/>
              <w:start w:val="single" w:sz="4" w:space="0" w:color="D9D9D9"/>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120"/>
              <w:jc w:val="start"/>
              <w:rPr>
                <w:rStyle w:val="Formatvorlage2"/>
                <w:rFonts w:ascii="Source Sans Pro" w:hAnsi="Source Sans Pro" w:asciiTheme="minorHAnsi" w:hAnsiTheme="minorHAnsi"/>
                <w:sz w:val="20"/>
                <w:szCs w:val="20"/>
              </w:rPr>
            </w:pPr>
            <w:sdt>
              <w:sdtPr>
                <w:placeholder>
                  <w:docPart w:val="CC1D1F20ECE4459C8B7AC499E5308CF3"/>
                </w:placeholder>
                <w:id w:val="268356973"/>
                <w:lock w:val="contentLocked"/>
                <w:text/>
              </w:sdtPr>
              <w:sdtContent>
                <w:r>
                  <w:rPr>
                    <w:rStyle w:val="Formatvorlage2"/>
                    <w:rFonts w:eastAsia="Source Sans Pro" w:cs="Arial"/>
                    <w:kern w:val="0"/>
                    <w:sz w:val="20"/>
                    <w:szCs w:val="20"/>
                    <w:lang w:val="de-DE" w:eastAsia="en-US" w:bidi="ar-SA"/>
                  </w:rPr>
                </w:r>
                <w:r>
                  <w:rPr>
                    <w:rStyle w:val="Formatvorlage2"/>
                    <w:rFonts w:eastAsia="Source Sans Pro" w:cs="Arial"/>
                    <w:kern w:val="0"/>
                    <w:sz w:val="20"/>
                    <w:szCs w:val="20"/>
                    <w:lang w:val="de-DE" w:eastAsia="en-US" w:bidi="ar-SA"/>
                  </w:rPr>
                  <w:t xml:space="preserve">nein </w:t>
                </w:r>
              </w:sdtContent>
            </w:sdt>
          </w:p>
        </w:tc>
        <w:tc>
          <w:tcPr>
            <w:tcW w:w="639" w:type="dxa"/>
            <w:tcBorders>
              <w:top w:val="single" w:sz="4" w:space="0" w:color="D9D9D9"/>
              <w:start w:val="single" w:sz="4" w:space="0" w:color="D9D9D9"/>
              <w:bottom w:val="single" w:sz="4" w:space="0" w:color="D9D9D9"/>
            </w:tcBorders>
            <w:vAlign w:val="center"/>
          </w:tcPr>
          <w:p>
            <w:pPr>
              <w:pStyle w:val="Normal"/>
              <w:widowControl/>
              <w:spacing w:lineRule="auto" w:line="259" w:before="0" w:after="120"/>
              <w:jc w:val="center"/>
              <w:rPr>
                <w:rStyle w:val="Formatvorlage2"/>
                <w:rFonts w:ascii="Source Sans Pro" w:hAnsi="Source Sans Pro" w:asciiTheme="minorHAnsi" w:hAnsiTheme="minorHAnsi"/>
                <w:sz w:val="20"/>
                <w:szCs w:val="20"/>
              </w:rPr>
            </w:pPr>
            <w:sdt>
              <w:sdtPr>
                <w:id w:val="791952251"/>
                <w14:checkbox>
                  <w14:checked w14:val="1"/>
                  <w14:checkedState w14:val="2612"/>
                  <w14:uncheckedState w14:val="2610"/>
                </w14:checkbox>
              </w:sdtPr>
              <w:sdtContent>
                <w:r>
                  <w:rPr>
                    <w:rStyle w:val="Formatvorlage2"/>
                    <w:rFonts w:eastAsia="MS Gothic" w:cs="Arial" w:ascii="MS Gothic" w:hAnsi="MS Gothic"/>
                    <w:kern w:val="0"/>
                    <w:sz w:val="20"/>
                    <w:szCs w:val="20"/>
                    <w:lang w:val="de-DE" w:eastAsia="en-US" w:bidi="ar-SA"/>
                  </w:rPr>
                </w:r>
                <w:r>
                  <w:rPr>
                    <w:rStyle w:val="Formatvorlage2"/>
                    <w:rFonts w:eastAsia="MS Gothic" w:cs="Arial" w:ascii="MS Gothic" w:hAnsi="MS Gothic"/>
                    <w:kern w:val="0"/>
                    <w:sz w:val="20"/>
                    <w:szCs w:val="20"/>
                    <w:lang w:val="de-DE" w:eastAsia="en-US" w:bidi="ar-SA"/>
                  </w:rPr>
                  <w:t>☒</w:t>
                </w:r>
              </w:sdtContent>
            </w:sdt>
          </w:p>
        </w:tc>
      </w:tr>
      <w:tr>
        <w:trPr>
          <w:trHeight w:val="397" w:hRule="atLeast"/>
        </w:trPr>
        <w:tc>
          <w:tcPr>
            <w:tcW w:w="2976" w:type="dxa"/>
            <w:tcBorders>
              <w:top w:val="single" w:sz="4" w:space="0" w:color="D9D9D9"/>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120"/>
              <w:jc w:val="start"/>
              <w:rPr>
                <w:sz w:val="20"/>
                <w:szCs w:val="20"/>
              </w:rPr>
            </w:pPr>
            <w:r>
              <w:rPr>
                <w:rFonts w:eastAsia="Source Sans Pro" w:cs="Arial"/>
                <w:kern w:val="0"/>
                <w:sz w:val="20"/>
                <w:szCs w:val="20"/>
                <w:lang w:val="de-DE" w:eastAsia="en-US" w:bidi="ar-SA"/>
              </w:rPr>
              <w:t>Bitte ordnen Sie ihr Projekt einem Forschungsbereich der Hightech Agenda Deutschland zu.</w:t>
            </w:r>
          </w:p>
        </w:tc>
        <w:tc>
          <w:tcPr>
            <w:tcW w:w="6378" w:type="dxa"/>
            <w:gridSpan w:val="6"/>
            <w:tcBorders>
              <w:top w:val="single" w:sz="4" w:space="0" w:color="D9D9D9"/>
              <w:start w:val="single" w:sz="4" w:space="0" w:color="D9D9D9"/>
              <w:bottom w:val="single" w:sz="4" w:space="0" w:color="D9D9D9"/>
            </w:tcBorders>
          </w:tcPr>
          <w:p>
            <w:pPr>
              <w:pStyle w:val="Normal"/>
              <w:widowControl/>
              <w:spacing w:lineRule="auto" w:line="259" w:before="0" w:after="120"/>
              <w:jc w:val="start"/>
              <w:rPr>
                <w:rStyle w:val="Formatvorlage2"/>
                <w:rFonts w:ascii="Source Sans Pro" w:hAnsi="Source Sans Pro" w:asciiTheme="minorHAnsi" w:hAnsiTheme="minorHAnsi"/>
                <w:sz w:val="20"/>
                <w:szCs w:val="20"/>
              </w:rPr>
            </w:pPr>
            <w:sdt>
              <w:sdtPr>
                <w:alias w:val=""/>
                <w:dropDownList w:lastValue="1">
                  <w:listItem w:value="Wählen Sie ein Element aus." w:displayText="Wählen Sie ein Element aus."/>
                  <w:listItem w:value="Künstliche Intelligenz" w:displayText="Künstliche Intelligenz"/>
                  <w:listItem w:value="Quantentechnologie" w:displayText="Quantentechnologie"/>
                  <w:listItem w:value="Mikroelektronik" w:displayText="Mikroelektronik"/>
                  <w:listItem w:value="Biotechnologie" w:displayText="Biotechnologie"/>
                  <w:listItem w:value="Fusion und klimaneutrale Energieerzeugung" w:displayText="Fusion und klimaneutrale Energieerzeugung"/>
                  <w:listItem w:value="Technologien für klimaneutrale Mobilität" w:displayText="Technologien für klimaneutrale Mobilität"/>
                  <w:listItem w:value="Luft- und Raumfahrt" w:displayText="Luft- und Raumfahrt"/>
                  <w:listItem w:value="Gesundheitsforschung" w:displayText="Gesundheitsforschung"/>
                  <w:listItem w:value="Meeres- Klima- und Nachhaltigkeitsforschung" w:displayText="Meeres- Klima- und Nachhaltigkeitsforschung"/>
                  <w:listItem w:value="sonstige naturwissenschaftlich-technische Disziplin" w:displayText="sonstige naturwissenschaftlich-technische Disziplin"/>
                </w:dropDownList>
              </w:sdtPr>
              <w:sdtContent>
                <w:r>
                  <w:rPr>
                    <w:rFonts w:eastAsia="Source Sans Pro" w:cs="Arial"/>
                    <w:kern w:val="0"/>
                    <w:szCs w:val="22"/>
                    <w:lang w:val="de-DE" w:eastAsia="en-US" w:bidi="ar-SA"/>
                  </w:rPr>
                </w:r>
                <w:r>
                  <w:t>Künstliche Intelligenz</w:t>
                </w:r>
              </w:sdtContent>
            </w:sdt>
          </w:p>
        </w:tc>
      </w:tr>
    </w:tbl>
    <w:p>
      <w:pPr>
        <w:pStyle w:val="Normal"/>
        <w:rPr>
          <w:rFonts w:ascii="Source Sans Pro Bold" w:hAnsi="Source Sans Pro Bold" w:cs="Arial" w:asciiTheme="majorHAnsi" w:hAnsiTheme="majorHAnsi"/>
          <w:bCs/>
          <w:sz w:val="22"/>
        </w:rPr>
      </w:pPr>
      <w:r>
        <w:rPr>
          <w:rFonts w:cs="Arial" w:ascii="Source Sans Pro Bold" w:hAnsi="Source Sans Pro Bold"/>
          <w:bCs/>
          <w:sz w:val="22"/>
        </w:rPr>
      </w:r>
      <w:bookmarkStart w:id="0" w:name="_Hlk139012325"/>
      <w:bookmarkStart w:id="1" w:name="_Hlk139012325"/>
      <w:bookmarkEnd w:id="1"/>
    </w:p>
    <w:p>
      <w:pPr>
        <w:pStyle w:val="Normal"/>
        <w:rPr/>
      </w:pPr>
      <w:r>
        <w:rPr/>
      </w:r>
      <w:r>
        <w:br w:type="page"/>
      </w:r>
    </w:p>
    <w:tbl>
      <w:tblPr>
        <w:tblStyle w:val="TableGrid"/>
        <w:tblW w:w="5000" w:type="pct"/>
        <w:jc w:val="start"/>
        <w:tblInd w:w="-5" w:type="dxa"/>
        <w:tblLayout w:type="fixed"/>
        <w:tblCellMar>
          <w:top w:w="0" w:type="dxa"/>
          <w:start w:w="108" w:type="dxa"/>
          <w:bottom w:w="0" w:type="dxa"/>
          <w:end w:w="108" w:type="dxa"/>
        </w:tblCellMar>
        <w:tblLook w:val="04a0" w:noHBand="0" w:noVBand="1" w:firstColumn="1" w:lastRow="0" w:lastColumn="0" w:firstRow="1"/>
      </w:tblPr>
      <w:tblGrid>
        <w:gridCol w:w="9354"/>
      </w:tblGrid>
      <w:tr>
        <w:trPr>
          <w:trHeight w:val="397" w:hRule="atLeast"/>
        </w:trPr>
        <w:tc>
          <w:tcPr>
            <w:tcW w:w="9354" w:type="dxa"/>
            <w:tcBorders>
              <w:top w:val="single" w:sz="4" w:space="0" w:color="808080"/>
              <w:start w:val="single" w:sz="4" w:space="0" w:color="808080"/>
              <w:bottom w:val="single" w:sz="2" w:space="0" w:color="808080"/>
              <w:end w:val="single" w:sz="4" w:space="0" w:color="808080"/>
            </w:tcBorders>
            <w:shd w:color="auto" w:fill="D9D9D9" w:themeFill="background1" w:themeFillShade="d9" w:val="clear"/>
            <w:vAlign w:val="center"/>
          </w:tcPr>
          <w:sdt>
            <w:sdtPr>
              <w:id w:val="1452976972"/>
              <w:placeholder>
                <w:docPart w:val="DefaultPlaceholder_-1854013440"/>
              </w:placeholder>
              <w:lock w:val="sdtContentLocked"/>
            </w:sdtPr>
            <w:sdtContent>
              <w:p>
                <w:pPr>
                  <w:pStyle w:val="pf0"/>
                  <w:pageBreakBefore/>
                  <w:widowControl/>
                  <w:spacing w:before="0" w:after="0"/>
                  <w:jc w:val="start"/>
                  <w:rPr>
                    <w:rFonts w:ascii="Source Sans Pro Bold" w:hAnsi="Source Sans Pro Bold" w:asciiTheme="majorHAnsi" w:hAnsiTheme="majorHAnsi"/>
                    <w:bCs/>
                    <w:sz w:val="22"/>
                  </w:rPr>
                </w:pPr>
                <w:r>
                  <w:rPr>
                    <w:rFonts w:ascii="Source Sans Pro Bold" w:hAnsi="Source Sans Pro Bold" w:asciiTheme="majorHAnsi" w:hAnsiTheme="majorHAnsi"/>
                    <w:b/>
                    <w:kern w:val="0"/>
                    <w:sz w:val="22"/>
                    <w:lang w:val="de-DE" w:bidi="ar-SA"/>
                  </w:rPr>
                  <w:t>Kurzbeschreibung des Projekts</w:t>
                </w:r>
                <w:r>
                  <w:rPr>
                    <w:rFonts w:ascii="Source Sans Pro Bold" w:hAnsi="Source Sans Pro Bold" w:asciiTheme="majorHAnsi" w:hAnsiTheme="majorHAnsi"/>
                    <w:bCs/>
                    <w:kern w:val="0"/>
                    <w:sz w:val="22"/>
                    <w:lang w:val="de-DE" w:bidi="ar-SA"/>
                  </w:rPr>
                  <w:t xml:space="preserve"> </w:t>
                </w:r>
                <w:r>
                  <w:rPr>
                    <w:rFonts w:eastAsia="" w:cs="Arial" w:ascii="Source Sans Pro" w:hAnsi="Source Sans Pro" w:asciiTheme="minorHAnsi" w:eastAsiaTheme="majorEastAsia" w:hAnsiTheme="minorHAnsi"/>
                    <w:i/>
                    <w:iCs/>
                    <w:kern w:val="0"/>
                    <w:sz w:val="20"/>
                    <w:szCs w:val="22"/>
                    <w:lang w:val="de-DE" w:eastAsia="en-US" w:bidi="ar-SA"/>
                  </w:rPr>
                  <w:t>(max. eine DIN A4-Seite)</w:t>
                </w:r>
              </w:p>
            </w:sdtContent>
          </w:sdt>
        </w:tc>
      </w:tr>
    </w:tbl>
    <w:p>
      <w:pPr>
        <w:pStyle w:val="Normal"/>
        <w:rPr/>
      </w:pPr>
      <w:r>
        <w:rPr/>
      </w:r>
    </w:p>
    <w:tbl>
      <w:tblPr>
        <w:tblStyle w:val="TableGrid"/>
        <w:tblW w:w="5000" w:type="pct"/>
        <w:jc w:val="start"/>
        <w:tblInd w:w="-5" w:type="dxa"/>
        <w:tblLayout w:type="fixed"/>
        <w:tblCellMar>
          <w:top w:w="0" w:type="dxa"/>
          <w:start w:w="108" w:type="dxa"/>
          <w:bottom w:w="0" w:type="dxa"/>
          <w:end w:w="108" w:type="dxa"/>
        </w:tblCellMar>
        <w:tblLook w:val="04a0" w:noHBand="0" w:noVBand="1" w:firstColumn="1" w:lastRow="0" w:lastColumn="0" w:firstRow="1"/>
      </w:tblPr>
      <w:tblGrid>
        <w:gridCol w:w="9354"/>
      </w:tblGrid>
      <w:tr>
        <w:trPr>
          <w:trHeight w:val="580" w:hRule="atLeast"/>
        </w:trPr>
        <w:tc>
          <w:tcPr>
            <w:tcW w:w="9354" w:type="dxa"/>
            <w:tcBorders>
              <w:top w:val="single" w:sz="2" w:space="0" w:color="808080"/>
              <w:start w:val="single" w:sz="4" w:space="0" w:color="808080"/>
              <w:bottom w:val="single" w:sz="4" w:space="0" w:color="808080"/>
              <w:end w:val="single" w:sz="4" w:space="0" w:color="808080"/>
            </w:tcBorders>
          </w:tcPr>
          <w:p>
            <w:pPr>
              <w:pStyle w:val="Normal"/>
              <w:widowControl/>
              <w:spacing w:lineRule="auto" w:line="259" w:before="0" w:after="120"/>
              <w:jc w:val="both"/>
              <w:rPr>
                <w:sz w:val="20"/>
              </w:rPr>
            </w:pPr>
            <w:bookmarkStart w:id="2" w:name="__DdeLink__2360_918075110"/>
            <w:r>
              <w:rPr>
                <w:rFonts w:eastAsia="Source Sans Pro" w:cs="Arial"/>
                <w:kern w:val="0"/>
                <w:sz w:val="20"/>
                <w:szCs w:val="22"/>
                <w:lang w:val="de-DE" w:eastAsia="en-US" w:bidi="ar-SA"/>
              </w:rPr>
              <w:t>Mit dem beantragten Projekt EXCELS positioniert sich die Universität Siegen strategisch als exzellenter international sichtbarer Studien- und Forschungsstandort in den Schlüsseltechnologien Künstliche Intelligenz und intelligente Sensorsysteme. Im Zentrum steht die gezielte Ansprache exzellenter Bachelorstudierender im (vor)letzten Studienjahr aus Südostasien, China, Indien und Subsahara-Afrika (Ghana, Kenia) – Regionen mit hoher Talentdichte in den relevanten MINT-Fächern und zugleich von zentraler Bedeutung für den globalen Wettbewerb um hochqualifizierte Fachkräfte. Ziel ist es, diese Studierenden frühzeitig für ein forschungsorientiertes Masterstudium in Siegen zu gewinnen und sie durch ein strukturiertes, digitales Onboarding eng an den deutschen Wissenschafts- und Innovationsstandort zu binden. Das Vorhaben leistet damit einen unmittelbaren Beitrag zur Umsetzung der Hightech Agenda Deutschland sowie zur langfristigen Sicherung hochqualifizierter Fachkräfte in technologieintensiven Zukunftsfeldern.</w:t>
            </w:r>
          </w:p>
          <w:p>
            <w:pPr>
              <w:pStyle w:val="Normal"/>
              <w:widowControl/>
              <w:spacing w:lineRule="auto" w:line="259" w:before="0" w:after="120"/>
              <w:jc w:val="both"/>
              <w:rPr>
                <w:sz w:val="20"/>
              </w:rPr>
            </w:pPr>
            <w:r>
              <w:rPr>
                <w:rFonts w:eastAsia="Source Sans Pro" w:cs="Arial"/>
                <w:kern w:val="0"/>
                <w:sz w:val="20"/>
                <w:szCs w:val="22"/>
                <w:lang w:val="de-DE" w:eastAsia="en-US" w:bidi="ar-SA"/>
              </w:rPr>
              <w:t>Inhaltlicher Kern ist die enge Verzahnung von Sensorik und Künstlicher Intelligenz als technologische Grundlage autonomer, datengetriebener Systeme in Industrie 4.0, Mobilität, Gesundheitswesen und Energiewende. Die Integration von KI-Methoden in sensornahe Systeme ermöglicht eine Echtzeitverarbeitung („Edge AI“), stärkt die Datensouveränität und reduziert Abhängigkeiten von außereuropäischen digitalen Infrastrukturen. Die Qualifizierung von Studierenden in diesen eng miteinander verflochtenen Technologiefeldern erfordert ein Studienumfeld, das forschungsnah und international ausgerichtet ist.</w:t>
            </w:r>
          </w:p>
          <w:p>
            <w:pPr>
              <w:pStyle w:val="Normal"/>
              <w:widowControl/>
              <w:spacing w:lineRule="auto" w:line="259" w:before="0" w:after="120"/>
              <w:jc w:val="both"/>
              <w:rPr>
                <w:sz w:val="20"/>
              </w:rPr>
            </w:pPr>
            <w:r>
              <w:rPr>
                <w:rFonts w:eastAsia="Source Sans Pro" w:cs="Arial"/>
                <w:kern w:val="0"/>
                <w:sz w:val="20"/>
                <w:szCs w:val="22"/>
                <w:lang w:val="de-DE" w:eastAsia="en-US" w:bidi="ar-SA"/>
              </w:rPr>
              <w:t>Die Universität Siegen bietet hierfür mit den Department ETI sowie dem Zentrum für Sensorsysteme (</w:t>
            </w:r>
            <w:hyperlink r:id="rId2">
              <w:r>
                <w:rPr>
                  <w:rStyle w:val="Hyperlink"/>
                  <w:rFonts w:eastAsia="Source Sans Pro" w:cs="Arial"/>
                  <w:kern w:val="0"/>
                  <w:sz w:val="20"/>
                  <w:szCs w:val="22"/>
                  <w:lang w:val="de-DE" w:eastAsia="en-US" w:bidi="ar-SA"/>
                </w:rPr>
                <w:t>ZESS</w:t>
              </w:r>
            </w:hyperlink>
            <w:r>
              <w:rPr>
                <w:rFonts w:eastAsia="Source Sans Pro" w:cs="Arial"/>
                <w:kern w:val="0"/>
                <w:sz w:val="20"/>
                <w:szCs w:val="22"/>
                <w:lang w:val="de-DE" w:eastAsia="en-US" w:bidi="ar-SA"/>
              </w:rPr>
              <w:t xml:space="preserve">) eine sehr gute fachliche Basis. Das ZESS bündelt ausgewiesene Expertise in Maschinellem Lernen, Sensorik, Sensorfusion und Computational Imaging und fungiert als interdisziplinäre Forschungsplattform an der Schnittstelle von ETI. Mit unter anderem der DFG-geförderten Forschungsgruppe </w:t>
            </w:r>
            <w:hyperlink r:id="rId3">
              <w:bookmarkStart w:id="3" w:name="OLE_LINK6"/>
              <w:r>
                <w:rPr>
                  <w:rStyle w:val="Hyperlink"/>
                  <w:rFonts w:eastAsia="Source Sans Pro" w:cs="Arial"/>
                  <w:kern w:val="0"/>
                  <w:sz w:val="20"/>
                  <w:szCs w:val="22"/>
                  <w:lang w:val="de-DE" w:eastAsia="en-US" w:bidi="ar-SA"/>
                </w:rPr>
                <w:t>Learning to Sense</w:t>
              </w:r>
            </w:hyperlink>
            <w:r>
              <w:rPr>
                <w:rFonts w:eastAsia="Source Sans Pro" w:cs="Arial"/>
                <w:kern w:val="0"/>
                <w:sz w:val="20"/>
                <w:szCs w:val="22"/>
                <w:lang w:val="de-DE" w:eastAsia="en-US" w:bidi="ar-SA"/>
              </w:rPr>
              <w:t xml:space="preserve"> </w:t>
            </w:r>
            <w:bookmarkEnd w:id="3"/>
            <w:r>
              <w:rPr>
                <w:rFonts w:eastAsia="Source Sans Pro" w:cs="Arial"/>
                <w:kern w:val="0"/>
                <w:sz w:val="20"/>
                <w:szCs w:val="22"/>
                <w:lang w:val="de-DE" w:eastAsia="en-US" w:bidi="ar-SA"/>
              </w:rPr>
              <w:t>sowie dem Erasmus Mundes Master EMINENT ist der Standort Siegen international sichtbar vernetzt und verbindet Grundlagenforschung, anwendungsorientierte Entwicklung und akademische Ausbildung. Die operative Umsetzung des Projekts erfolgt in enger Kooperation mit dem International Office (IO), genauer der Abteilung International Student Affairs (ISA) und gewährleistet so eine nachhaltige institutionelle Verankerung sowie eine sehr gute Beratung, Betreuung und Unterstützung der internationalen Studierenden beim Recruiting, den Onboarding-Formaten sowie dem Übergang in das Masterstudium in Siegen.</w:t>
            </w:r>
          </w:p>
          <w:p>
            <w:pPr>
              <w:pStyle w:val="Normal"/>
              <w:widowControl/>
              <w:spacing w:lineRule="auto" w:line="259" w:before="0" w:after="120"/>
              <w:jc w:val="both"/>
              <w:rPr>
                <w:sz w:val="20"/>
              </w:rPr>
            </w:pPr>
            <w:r>
              <w:rPr>
                <w:rFonts w:eastAsia="Source Sans Pro" w:cs="Arial"/>
                <w:kern w:val="0"/>
                <w:sz w:val="20"/>
                <w:szCs w:val="22"/>
                <w:lang w:val="de-DE" w:eastAsia="en-US" w:bidi="ar-SA"/>
              </w:rPr>
              <w:t xml:space="preserve">Zentrales Element ist ein mehrstufiges Recruiting- und Onboarding-Konzept, das gezielt fachliche Anschlussfähigkeit, Orientierungssicherheit sowie eine frühe akademische und soziale Integration fördert. Die digitalen Formate (Digital Prep) kombinieren anspruchsvolle thematische Online-Module (KI, Sensorsysteme) mit einer Einführung in deutsche Lehr-, Lern- und Prüfungskulturen, digitalen Beratungsangeboten und moderierten Austauschformaten mit Lehrenden und Forschenden. Diese strukturierte Vorbereitung reduziert Übergangsrisiken und ermöglicht den Aufbau tragfähiger Bindungen bereits vor Studienbeginn. Die forschungsnahe Summer School in Siegen verbindet die projektbasierte Teamarbeit, Laborbesuche, Forschungsdemonstratoren und gezielte Networking-Formate. Die Teilnehmenden erhalten Einblicke in Forschungsthemen, Arbeitsgruppen und Betreuungskontexte. Die Einbindung in das jährlich stattfindende </w:t>
            </w:r>
            <w:hyperlink r:id="rId4">
              <w:bookmarkStart w:id="4" w:name="OLE_LINK8"/>
              <w:r>
                <w:rPr>
                  <w:rStyle w:val="Hyperlink"/>
                  <w:rFonts w:eastAsia="Source Sans Pro" w:cs="Arial"/>
                  <w:kern w:val="0"/>
                  <w:sz w:val="20"/>
                  <w:szCs w:val="22"/>
                  <w:lang w:val="de-DE" w:eastAsia="en-US" w:bidi="ar-SA"/>
                </w:rPr>
                <w:t>ZESS Research Forum</w:t>
              </w:r>
            </w:hyperlink>
            <w:bookmarkEnd w:id="4"/>
            <w:r>
              <w:rPr>
                <w:rFonts w:eastAsia="Source Sans Pro" w:cs="Arial"/>
                <w:kern w:val="0"/>
                <w:sz w:val="20"/>
                <w:szCs w:val="22"/>
                <w:lang w:val="de-DE" w:eastAsia="en-US" w:bidi="ar-SA"/>
              </w:rPr>
              <w:t xml:space="preserve"> erweitert die Summer School um einen professionellen Austauschraum. Die Summer School ist mehr als ein Willkommensformat, sie ist ein strategisches Instrument zur akademischen Positionierung und nachhaltigen Bindung von exzellenten internationalen Studierenden.</w:t>
            </w:r>
          </w:p>
          <w:p>
            <w:pPr>
              <w:pStyle w:val="Normal"/>
              <w:widowControl/>
              <w:spacing w:lineRule="auto" w:line="259" w:before="0" w:after="120"/>
              <w:jc w:val="both"/>
              <w:rPr>
                <w:sz w:val="20"/>
              </w:rPr>
            </w:pPr>
            <w:bookmarkStart w:id="5" w:name="__DdeLink__2360_918075110"/>
            <w:r>
              <w:rPr>
                <w:rFonts w:eastAsia="Source Sans Pro" w:cs="Arial"/>
                <w:kern w:val="0"/>
                <w:sz w:val="20"/>
                <w:szCs w:val="22"/>
                <w:lang w:val="de-DE" w:eastAsia="en-US" w:bidi="ar-SA"/>
              </w:rPr>
              <w:t>Die Ansprache und qualitätsgesicherte Vorauswahl exzellenter Studierender erfolgt zusätzlich über die Partneruniversitäten in Süd- und Südostasien sowie Subsahara-Afrika, Regionen mit leistungsstarken technischen Hochschulsystemen, hochkompetitiven Studierendenkohorten und starkem Interesse an forschungsorientierten Masterprogrammen. Die Universität Siegen ist an Allianzbüros in China und Ghana beteiligt, verfügt über Regionalkompetenz, da in Siegen bereits viele internationale Studierende in MINT-Programmen studieren. Das Projekt baut gezielt auf dieser Nachfrage auf und entwickelt sie qualitativ weiter.</w:t>
            </w:r>
            <w:bookmarkEnd w:id="5"/>
          </w:p>
        </w:tc>
      </w:tr>
    </w:tbl>
    <w:p>
      <w:pPr>
        <w:pStyle w:val="Normal"/>
        <w:spacing w:lineRule="auto" w:line="259" w:before="0" w:after="160"/>
        <w:rPr>
          <w:rFonts w:ascii="Source Sans Pro Bold" w:hAnsi="Source Sans Pro Bold" w:cs="Arial" w:asciiTheme="majorHAnsi" w:hAnsiTheme="majorHAnsi"/>
          <w:bCs/>
          <w:sz w:val="22"/>
        </w:rPr>
      </w:pPr>
      <w:r>
        <w:rPr>
          <w:rFonts w:cs="Arial" w:ascii="Source Sans Pro Bold" w:hAnsi="Source Sans Pro Bold"/>
          <w:bCs/>
          <w:sz w:val="22"/>
        </w:rPr>
      </w:r>
    </w:p>
    <w:p>
      <w:pPr>
        <w:pStyle w:val="Normal"/>
        <w:spacing w:lineRule="auto" w:line="259" w:before="0" w:after="160"/>
        <w:rPr>
          <w:rFonts w:ascii="Source Sans Pro Bold" w:hAnsi="Source Sans Pro Bold" w:cs="Arial" w:asciiTheme="majorHAnsi" w:hAnsiTheme="majorHAnsi"/>
          <w:bCs/>
          <w:sz w:val="22"/>
        </w:rPr>
      </w:pPr>
      <w:r>
        <w:rPr>
          <w:rFonts w:cs="Arial" w:ascii="Source Sans Pro Bold" w:hAnsi="Source Sans Pro Bold"/>
          <w:bCs/>
          <w:sz w:val="22"/>
        </w:rPr>
      </w:r>
    </w:p>
    <w:tbl>
      <w:tblPr>
        <w:tblStyle w:val="TableGrid"/>
        <w:tblW w:w="5000" w:type="pct"/>
        <w:jc w:val="start"/>
        <w:tblInd w:w="-5" w:type="dxa"/>
        <w:tblLayout w:type="fixed"/>
        <w:tblCellMar>
          <w:top w:w="0" w:type="dxa"/>
          <w:start w:w="108" w:type="dxa"/>
          <w:bottom w:w="0" w:type="dxa"/>
          <w:end w:w="108" w:type="dxa"/>
        </w:tblCellMar>
        <w:tblLook w:val="04a0" w:noHBand="0" w:noVBand="1" w:firstColumn="1" w:lastRow="0" w:lastColumn="0" w:firstRow="1"/>
      </w:tblPr>
      <w:tblGrid>
        <w:gridCol w:w="9354"/>
      </w:tblGrid>
      <w:tr>
        <w:trPr>
          <w:trHeight w:val="397" w:hRule="atLeast"/>
        </w:trPr>
        <w:tc>
          <w:tcPr>
            <w:tcW w:w="9354" w:type="dxa"/>
            <w:tcBorders>
              <w:top w:val="single" w:sz="4" w:space="0" w:color="808080"/>
              <w:start w:val="single" w:sz="4" w:space="0" w:color="808080"/>
              <w:bottom w:val="single" w:sz="2" w:space="0" w:color="808080"/>
              <w:end w:val="single" w:sz="4" w:space="0" w:color="808080"/>
            </w:tcBorders>
            <w:shd w:color="auto" w:fill="D9D9D9" w:themeFill="background1" w:themeFillShade="d9" w:val="clear"/>
            <w:vAlign w:val="center"/>
          </w:tcPr>
          <w:sdt>
            <w:sdtPr>
              <w:id w:val="-698393915"/>
              <w:placeholder>
                <w:docPart w:val="DefaultPlaceholder_-1854013440"/>
              </w:placeholder>
              <w:lock w:val="sdtContentLocked"/>
            </w:sdtPr>
            <w:sdtContent>
              <w:p>
                <w:pPr>
                  <w:pStyle w:val="Normal"/>
                  <w:widowControl/>
                  <w:spacing w:beforeAutospacing="1" w:after="0"/>
                  <w:jc w:val="start"/>
                  <w:rPr>
                    <w:rFonts w:ascii="Source Sans Pro Bold" w:hAnsi="Source Sans Pro Bold" w:asciiTheme="majorHAnsi" w:hAnsiTheme="majorHAnsi"/>
                    <w:b/>
                    <w:sz w:val="22"/>
                  </w:rPr>
                </w:pPr>
                <w:r>
                  <w:rPr>
                    <w:rFonts w:eastAsia="Source Sans Pro" w:cs="Arial" w:ascii="Source Sans Pro Bold" w:hAnsi="Source Sans Pro Bold" w:asciiTheme="majorHAnsi" w:hAnsiTheme="majorHAnsi"/>
                    <w:b/>
                    <w:kern w:val="0"/>
                    <w:sz w:val="22"/>
                    <w:szCs w:val="22"/>
                    <w:lang w:val="de-DE" w:eastAsia="en-US" w:bidi="ar-SA"/>
                  </w:rPr>
                  <w:t>Beschreibung des Projekts</w:t>
                </w:r>
              </w:p>
            </w:sdtContent>
          </w:sdt>
        </w:tc>
      </w:tr>
      <w:tr>
        <w:trPr>
          <w:trHeight w:val="436" w:hRule="atLeast"/>
        </w:trPr>
        <w:tc>
          <w:tcPr>
            <w:tcW w:w="9354" w:type="dxa"/>
            <w:tcBorders>
              <w:top w:val="single" w:sz="2" w:space="0" w:color="808080"/>
              <w:start w:val="single" w:sz="4" w:space="0" w:color="808080"/>
              <w:bottom w:val="single" w:sz="2" w:space="0" w:color="808080"/>
              <w:end w:val="single" w:sz="4" w:space="0" w:color="808080"/>
            </w:tcBorders>
            <w:shd w:color="auto" w:fill="F2F2F2" w:themeFill="background1" w:themeFillShade="f2" w:val="clear"/>
            <w:vAlign w:val="center"/>
          </w:tcPr>
          <w:p>
            <w:pPr>
              <w:pStyle w:val="ListParagraph"/>
              <w:widowControl/>
              <w:numPr>
                <w:ilvl w:val="0"/>
                <w:numId w:val="2"/>
              </w:numPr>
              <w:spacing w:before="0" w:after="120"/>
              <w:ind w:hanging="360" w:start="320"/>
              <w:contextualSpacing/>
              <w:jc w:val="start"/>
              <w:rPr>
                <w:rFonts w:cs="Times New Roman"/>
                <w:sz w:val="20"/>
                <w:szCs w:val="20"/>
              </w:rPr>
            </w:pPr>
            <w:sdt>
              <w:sdtPr>
                <w:placeholder>
                  <w:docPart w:val="DefaultPlaceholder_-1854013440"/>
                </w:placeholder>
                <w:id w:val="129605281"/>
                <w:lock w:val="sdtLocked"/>
                <w:text/>
              </w:sdtPr>
              <w:sdtContent>
                <w:r>
                  <w:rPr>
                    <w:rFonts w:eastAsia="Source Sans Pro" w:cs="Times New Roman"/>
                    <w:kern w:val="0"/>
                    <w:sz w:val="20"/>
                    <w:szCs w:val="20"/>
                    <w:lang w:val="de-DE" w:eastAsia="en-US" w:bidi="ar-SA"/>
                  </w:rPr>
                </w:r>
                <w:r>
                  <w:rPr>
                    <w:rFonts w:eastAsia="Source Sans Pro" w:cs="Times New Roman"/>
                    <w:kern w:val="0"/>
                    <w:sz w:val="20"/>
                    <w:szCs w:val="20"/>
                    <w:lang w:val="de-DE" w:eastAsia="en-US" w:bidi="ar-SA"/>
                  </w:rPr>
                  <w:t>Beschreiben Sie:</w:t>
                </w:r>
              </w:sdtContent>
            </w:sdt>
          </w:p>
          <w:p>
            <w:pPr>
              <w:pStyle w:val="ListParagraph"/>
              <w:widowControl/>
              <w:numPr>
                <w:ilvl w:val="0"/>
                <w:numId w:val="3"/>
              </w:numPr>
              <w:spacing w:before="0" w:after="120"/>
              <w:ind w:hanging="244" w:start="604"/>
              <w:contextualSpacing/>
              <w:jc w:val="start"/>
              <w:rPr>
                <w:rFonts w:cs="Times New Roman"/>
                <w:sz w:val="20"/>
                <w:szCs w:val="20"/>
              </w:rPr>
            </w:pPr>
            <w:r>
              <w:rPr>
                <w:rFonts w:eastAsia="Source Sans Pro" w:cs="Times New Roman"/>
                <w:kern w:val="0"/>
                <w:sz w:val="20"/>
                <w:szCs w:val="20"/>
                <w:lang w:val="de-DE" w:eastAsia="en-US" w:bidi="ar-SA"/>
              </w:rPr>
              <w:t>das Projekt fachlich-inhaltlich, und gehen dabei insbesondere auf folgende Punkte ein:</w:t>
            </w:r>
          </w:p>
          <w:p>
            <w:pPr>
              <w:pStyle w:val="ListParagraph"/>
              <w:widowControl/>
              <w:numPr>
                <w:ilvl w:val="1"/>
                <w:numId w:val="3"/>
              </w:numPr>
              <w:spacing w:before="0" w:after="120"/>
              <w:contextualSpacing/>
              <w:jc w:val="start"/>
              <w:rPr>
                <w:rFonts w:cs="Times New Roman"/>
                <w:sz w:val="20"/>
                <w:szCs w:val="20"/>
              </w:rPr>
            </w:pPr>
            <w:r>
              <w:rPr>
                <w:rFonts w:eastAsia="Source Sans Pro" w:cs="Times New Roman"/>
                <w:b/>
                <w:bCs/>
                <w:kern w:val="0"/>
                <w:sz w:val="20"/>
                <w:szCs w:val="20"/>
                <w:lang w:val="de-DE" w:eastAsia="en-US" w:bidi="ar-SA"/>
              </w:rPr>
              <w:t>Fachliche Ausrichtung</w:t>
            </w:r>
            <w:r>
              <w:rPr>
                <w:rFonts w:eastAsia="Source Sans Pro" w:cs="Times New Roman"/>
                <w:kern w:val="0"/>
                <w:sz w:val="20"/>
                <w:szCs w:val="20"/>
                <w:lang w:val="de-DE" w:eastAsia="en-US" w:bidi="ar-SA"/>
              </w:rPr>
              <w:t xml:space="preserve"> und Bezug der Studiengänge bzw. Forschungsbereiche zur Hightech Agenda Deutschland </w:t>
            </w:r>
          </w:p>
          <w:p>
            <w:pPr>
              <w:pStyle w:val="ListParagraph"/>
              <w:widowControl/>
              <w:numPr>
                <w:ilvl w:val="1"/>
                <w:numId w:val="3"/>
              </w:numPr>
              <w:spacing w:before="0" w:after="120"/>
              <w:contextualSpacing/>
              <w:jc w:val="start"/>
              <w:rPr>
                <w:rFonts w:cs="Times New Roman"/>
                <w:sz w:val="20"/>
                <w:szCs w:val="20"/>
              </w:rPr>
            </w:pPr>
            <w:r>
              <w:rPr>
                <w:rFonts w:eastAsia="Source Sans Pro" w:cs="Times New Roman"/>
                <w:kern w:val="0"/>
                <w:sz w:val="20"/>
                <w:szCs w:val="20"/>
                <w:lang w:val="de-DE" w:eastAsia="en-US" w:bidi="ar-SA"/>
              </w:rPr>
              <w:t xml:space="preserve">Erläuterung der geplanten Maßnahmen zur akademischen und sozialen Integration (Baustein 2: </w:t>
            </w:r>
            <w:r>
              <w:rPr>
                <w:rFonts w:eastAsia="Source Sans Pro" w:cs="Times New Roman"/>
                <w:b/>
                <w:bCs/>
                <w:kern w:val="0"/>
                <w:sz w:val="20"/>
                <w:szCs w:val="20"/>
                <w:lang w:val="de-DE" w:eastAsia="en-US" w:bidi="ar-SA"/>
              </w:rPr>
              <w:t>Onboarding</w:t>
            </w:r>
            <w:r>
              <w:rPr>
                <w:rFonts w:eastAsia="Source Sans Pro" w:cs="Times New Roman"/>
                <w:kern w:val="0"/>
                <w:sz w:val="20"/>
                <w:szCs w:val="20"/>
                <w:lang w:val="de-DE" w:eastAsia="en-US" w:bidi="ar-SA"/>
              </w:rPr>
              <w:t>)</w:t>
            </w:r>
          </w:p>
          <w:p>
            <w:pPr>
              <w:pStyle w:val="ListParagraph"/>
              <w:widowControl/>
              <w:numPr>
                <w:ilvl w:val="1"/>
                <w:numId w:val="3"/>
              </w:numPr>
              <w:spacing w:before="0" w:after="120"/>
              <w:contextualSpacing/>
              <w:jc w:val="start"/>
              <w:rPr>
                <w:rFonts w:cs="Times New Roman"/>
                <w:sz w:val="20"/>
                <w:szCs w:val="20"/>
              </w:rPr>
            </w:pPr>
            <w:r>
              <w:rPr>
                <w:rFonts w:eastAsia="Source Sans Pro" w:cs="Times New Roman"/>
                <w:kern w:val="0"/>
                <w:sz w:val="20"/>
                <w:szCs w:val="20"/>
                <w:lang w:val="de-DE" w:eastAsia="en-US" w:bidi="ar-SA"/>
              </w:rPr>
              <w:t>OPTIONAL: Erläuterung geplanter Maßnahmen zur Ansprache, Gewinnung und Auswahl internationaler Masterstudierender und Promovierender (Baustein 1:</w:t>
            </w:r>
            <w:r>
              <w:rPr>
                <w:rFonts w:eastAsia="Source Sans Pro" w:cs="Times New Roman"/>
                <w:b/>
                <w:bCs/>
                <w:kern w:val="0"/>
                <w:sz w:val="20"/>
                <w:szCs w:val="20"/>
                <w:lang w:val="de-DE" w:eastAsia="en-US" w:bidi="ar-SA"/>
              </w:rPr>
              <w:t xml:space="preserve"> Recruiting</w:t>
            </w:r>
            <w:r>
              <w:rPr>
                <w:rFonts w:eastAsia="Source Sans Pro" w:cs="Times New Roman"/>
                <w:kern w:val="0"/>
                <w:sz w:val="20"/>
                <w:szCs w:val="20"/>
                <w:lang w:val="de-DE" w:eastAsia="en-US" w:bidi="ar-SA"/>
              </w:rPr>
              <w:t xml:space="preserve">); </w:t>
            </w:r>
          </w:p>
          <w:p>
            <w:pPr>
              <w:pStyle w:val="ListParagraph"/>
              <w:widowControl/>
              <w:numPr>
                <w:ilvl w:val="1"/>
                <w:numId w:val="3"/>
              </w:numPr>
              <w:spacing w:before="0" w:after="120"/>
              <w:contextualSpacing/>
              <w:jc w:val="start"/>
              <w:rPr>
                <w:rFonts w:cs="Times New Roman"/>
                <w:sz w:val="20"/>
                <w:szCs w:val="20"/>
              </w:rPr>
            </w:pPr>
            <w:r>
              <w:rPr>
                <w:rFonts w:eastAsia="Source Sans Pro" w:cs="Times New Roman"/>
                <w:kern w:val="0"/>
                <w:sz w:val="20"/>
                <w:szCs w:val="20"/>
                <w:lang w:val="de-DE" w:eastAsia="en-US" w:bidi="ar-SA"/>
              </w:rPr>
              <w:t xml:space="preserve">OPTIONAL: Erläuterung geplanter Maßnahmen zur Vorbereitung auf den Berufseinstieg in Deutschland (Baustein 3: </w:t>
            </w:r>
            <w:r>
              <w:rPr>
                <w:rFonts w:eastAsia="Source Sans Pro" w:cs="Times New Roman"/>
                <w:b/>
                <w:bCs/>
                <w:kern w:val="0"/>
                <w:sz w:val="20"/>
                <w:szCs w:val="20"/>
                <w:lang w:val="de-DE" w:eastAsia="en-US" w:bidi="ar-SA"/>
              </w:rPr>
              <w:t>Career</w:t>
            </w:r>
            <w:r>
              <w:rPr>
                <w:rFonts w:eastAsia="Source Sans Pro" w:cs="Times New Roman"/>
                <w:kern w:val="0"/>
                <w:sz w:val="20"/>
                <w:szCs w:val="20"/>
                <w:lang w:val="de-DE" w:eastAsia="en-US" w:bidi="ar-SA"/>
              </w:rPr>
              <w:t>)</w:t>
            </w:r>
          </w:p>
          <w:p>
            <w:pPr>
              <w:pStyle w:val="ListParagraph"/>
              <w:widowControl/>
              <w:numPr>
                <w:ilvl w:val="1"/>
                <w:numId w:val="3"/>
              </w:numPr>
              <w:spacing w:before="0" w:after="120"/>
              <w:contextualSpacing/>
              <w:jc w:val="start"/>
              <w:rPr>
                <w:rFonts w:cs="Times New Roman"/>
                <w:sz w:val="20"/>
                <w:szCs w:val="20"/>
              </w:rPr>
            </w:pPr>
            <w:r>
              <w:rPr>
                <w:rFonts w:eastAsia="Source Sans Pro" w:cs="Times New Roman"/>
                <w:b/>
                <w:bCs/>
                <w:kern w:val="0"/>
                <w:sz w:val="20"/>
                <w:szCs w:val="20"/>
                <w:lang w:val="de-DE" w:eastAsia="en-US" w:bidi="ar-SA"/>
              </w:rPr>
              <w:t>Zielgruppenorientierung</w:t>
            </w:r>
            <w:r>
              <w:rPr>
                <w:rFonts w:eastAsia="Source Sans Pro" w:cs="Times New Roman"/>
                <w:kern w:val="0"/>
                <w:sz w:val="20"/>
                <w:szCs w:val="20"/>
                <w:lang w:val="de-DE" w:eastAsia="en-US" w:bidi="ar-SA"/>
              </w:rPr>
              <w:t xml:space="preserve"> der geplanten Maßnahmen</w:t>
            </w:r>
          </w:p>
          <w:p>
            <w:pPr>
              <w:pStyle w:val="ListParagraph"/>
              <w:widowControl/>
              <w:numPr>
                <w:ilvl w:val="1"/>
                <w:numId w:val="3"/>
              </w:numPr>
              <w:spacing w:before="0" w:after="120"/>
              <w:contextualSpacing/>
              <w:jc w:val="start"/>
              <w:rPr>
                <w:rFonts w:cs="Times New Roman"/>
                <w:sz w:val="20"/>
                <w:szCs w:val="20"/>
              </w:rPr>
            </w:pPr>
            <w:r>
              <w:rPr>
                <w:rFonts w:eastAsia="Source Sans Pro" w:cs="Times New Roman"/>
                <w:b/>
                <w:bCs/>
                <w:kern w:val="0"/>
                <w:sz w:val="20"/>
                <w:szCs w:val="20"/>
                <w:lang w:val="de-DE" w:eastAsia="en-US" w:bidi="ar-SA"/>
              </w:rPr>
              <w:t>Abgrenzung von geplanten Maßnahmen</w:t>
            </w:r>
            <w:r>
              <w:rPr>
                <w:rFonts w:eastAsia="Source Sans Pro" w:cs="Times New Roman"/>
                <w:kern w:val="0"/>
                <w:sz w:val="20"/>
                <w:szCs w:val="20"/>
                <w:lang w:val="de-DE" w:eastAsia="en-US" w:bidi="ar-SA"/>
              </w:rPr>
              <w:t>, die aus der DAAD-Zuwendung finanziert werden sollen und solcher Maßnahmen, die an der Hochschule bereits bestehen und in die Projektdurchführung einbezogen werden</w:t>
            </w:r>
          </w:p>
          <w:p>
            <w:pPr>
              <w:pStyle w:val="ListParagraph"/>
              <w:widowControl/>
              <w:numPr>
                <w:ilvl w:val="1"/>
                <w:numId w:val="3"/>
              </w:numPr>
              <w:spacing w:before="0" w:after="120"/>
              <w:contextualSpacing/>
              <w:jc w:val="start"/>
              <w:rPr>
                <w:rFonts w:cs="Times New Roman"/>
                <w:sz w:val="20"/>
                <w:szCs w:val="20"/>
              </w:rPr>
            </w:pPr>
            <w:r>
              <w:rPr>
                <w:rFonts w:eastAsia="Source Sans Pro" w:cs="Times New Roman"/>
                <w:kern w:val="0"/>
                <w:sz w:val="20"/>
                <w:szCs w:val="20"/>
                <w:lang w:val="de-DE" w:eastAsia="en-US" w:bidi="ar-SA"/>
              </w:rPr>
              <w:t xml:space="preserve">Bitte geben Sie zur </w:t>
            </w:r>
            <w:r>
              <w:rPr>
                <w:rFonts w:eastAsia="Source Sans Pro" w:cs="Times New Roman"/>
                <w:b/>
                <w:bCs/>
                <w:kern w:val="0"/>
                <w:sz w:val="20"/>
                <w:szCs w:val="20"/>
                <w:lang w:val="de-DE" w:eastAsia="en-US" w:bidi="ar-SA"/>
              </w:rPr>
              <w:t>Angemessenheit</w:t>
            </w:r>
            <w:r>
              <w:rPr>
                <w:rFonts w:eastAsia="Source Sans Pro" w:cs="Times New Roman"/>
                <w:kern w:val="0"/>
                <w:sz w:val="20"/>
                <w:szCs w:val="20"/>
                <w:lang w:val="de-DE" w:eastAsia="en-US" w:bidi="ar-SA"/>
              </w:rPr>
              <w:t>sprüfung durch die Auswahlkommission die Anzahl bzw. den Anteil internationaler Studierender und Promovierender in den betreffenden Studiengängen und Forschungsbereichen an. Ergänzen Sie zudem eine Zielmarke, d. h. die Anzahl der Personen, die durch das Projekt zusätzlich gewonnen werden sollen.</w:t>
            </w:r>
          </w:p>
          <w:p>
            <w:pPr>
              <w:pStyle w:val="ListParagraph"/>
              <w:widowControl/>
              <w:spacing w:before="0" w:after="120"/>
              <w:ind w:start="1440"/>
              <w:contextualSpacing/>
              <w:jc w:val="start"/>
              <w:rPr>
                <w:rFonts w:cs="Times New Roman"/>
                <w:sz w:val="20"/>
                <w:szCs w:val="20"/>
              </w:rPr>
            </w:pPr>
            <w:r>
              <w:rPr>
                <w:rFonts w:eastAsia="Source Sans Pro" w:cs="Times New Roman"/>
                <w:kern w:val="0"/>
                <w:sz w:val="20"/>
                <w:szCs w:val="20"/>
                <w:lang w:val="de-DE" w:eastAsia="en-US" w:bidi="ar-SA"/>
              </w:rPr>
            </w:r>
          </w:p>
          <w:p>
            <w:pPr>
              <w:pStyle w:val="ListParagraph"/>
              <w:widowControl/>
              <w:numPr>
                <w:ilvl w:val="0"/>
                <w:numId w:val="3"/>
              </w:numPr>
              <w:spacing w:before="0" w:after="120"/>
              <w:ind w:hanging="244" w:start="604"/>
              <w:contextualSpacing/>
              <w:jc w:val="start"/>
              <w:rPr>
                <w:rFonts w:cs="Times New Roman"/>
                <w:sz w:val="20"/>
                <w:szCs w:val="20"/>
              </w:rPr>
            </w:pPr>
            <w:r>
              <w:rPr>
                <w:rFonts w:eastAsia="Source Sans Pro" w:cs="Times New Roman"/>
                <w:kern w:val="0"/>
                <w:sz w:val="20"/>
                <w:szCs w:val="20"/>
                <w:lang w:val="de-DE" w:eastAsia="en-US" w:bidi="ar-SA"/>
              </w:rPr>
              <w:t xml:space="preserve">die </w:t>
            </w:r>
            <w:r>
              <w:rPr>
                <w:rFonts w:eastAsia="Source Sans Pro" w:cs="Times New Roman"/>
                <w:kern w:val="0"/>
                <w:sz w:val="20"/>
                <w:szCs w:val="20"/>
                <w:u w:val="single"/>
                <w:lang w:val="de-DE" w:eastAsia="en-US" w:bidi="ar-SA"/>
              </w:rPr>
              <w:t>Projekt</w:t>
            </w:r>
            <w:r>
              <w:rPr>
                <w:rFonts w:eastAsia="Source Sans Pro" w:cs="Times New Roman"/>
                <w:kern w:val="0"/>
                <w:sz w:val="20"/>
                <w:szCs w:val="20"/>
                <w:lang w:val="de-DE" w:eastAsia="en-US" w:bidi="ar-SA"/>
              </w:rPr>
              <w:t>ziele (Outcomes), die im Rahmen der Förderung erreicht werden sollen</w:t>
            </w:r>
          </w:p>
          <w:p>
            <w:pPr>
              <w:pStyle w:val="ListParagraph"/>
              <w:widowControl/>
              <w:numPr>
                <w:ilvl w:val="0"/>
                <w:numId w:val="3"/>
              </w:numPr>
              <w:spacing w:before="0" w:after="120"/>
              <w:ind w:hanging="244" w:start="604"/>
              <w:contextualSpacing/>
              <w:jc w:val="start"/>
              <w:rPr>
                <w:rFonts w:cs="Times New Roman"/>
                <w:sz w:val="20"/>
                <w:szCs w:val="20"/>
              </w:rPr>
            </w:pPr>
            <w:r>
              <w:rPr>
                <w:rFonts w:eastAsia="Source Sans Pro" w:cs="Times New Roman"/>
                <w:kern w:val="0"/>
                <w:sz w:val="20"/>
                <w:szCs w:val="20"/>
                <w:lang w:val="de-DE" w:eastAsia="en-US" w:bidi="ar-SA"/>
              </w:rPr>
              <w:t xml:space="preserve">den </w:t>
            </w:r>
            <w:r>
              <w:rPr>
                <w:rFonts w:eastAsia="Source Sans Pro" w:cs="Arial"/>
                <w:kern w:val="0"/>
                <w:sz w:val="20"/>
                <w:szCs w:val="20"/>
                <w:lang w:val="de-DE" w:eastAsia="en-US" w:bidi="ar-SA"/>
              </w:rPr>
              <w:t xml:space="preserve">Bezug des Projekts zu den </w:t>
            </w:r>
            <w:r>
              <w:rPr>
                <w:rFonts w:eastAsia="Source Sans Pro" w:cs="Arial"/>
                <w:kern w:val="0"/>
                <w:sz w:val="20"/>
                <w:szCs w:val="20"/>
                <w:u w:val="single"/>
                <w:lang w:val="de-DE" w:eastAsia="en-US" w:bidi="ar-SA"/>
              </w:rPr>
              <w:t>Programm</w:t>
            </w:r>
            <w:r>
              <w:rPr>
                <w:rFonts w:eastAsia="Source Sans Pro" w:cs="Arial"/>
                <w:kern w:val="0"/>
                <w:sz w:val="20"/>
                <w:szCs w:val="20"/>
                <w:lang w:val="de-DE" w:eastAsia="en-US" w:bidi="ar-SA"/>
              </w:rPr>
              <w:t>zielen</w:t>
            </w:r>
          </w:p>
          <w:p>
            <w:pPr>
              <w:pStyle w:val="ListParagraph"/>
              <w:widowControl/>
              <w:numPr>
                <w:ilvl w:val="0"/>
                <w:numId w:val="3"/>
              </w:numPr>
              <w:spacing w:before="0" w:after="120"/>
              <w:ind w:hanging="244" w:start="604"/>
              <w:contextualSpacing w:val="false"/>
              <w:jc w:val="start"/>
              <w:rPr>
                <w:rFonts w:cs="Times New Roman"/>
                <w:sz w:val="20"/>
                <w:szCs w:val="20"/>
              </w:rPr>
            </w:pPr>
            <w:r>
              <w:rPr>
                <w:rFonts w:eastAsia="Source Sans Pro" w:cs="Times New Roman"/>
                <w:kern w:val="0"/>
                <w:sz w:val="20"/>
                <w:szCs w:val="20"/>
                <w:lang w:val="de-DE" w:eastAsia="en-US" w:bidi="ar-SA"/>
              </w:rPr>
              <w:t>Potenziale und mögliche Risiken sowie den Umgang damit</w:t>
            </w:r>
          </w:p>
          <w:p>
            <w:pPr>
              <w:pStyle w:val="ListParagraph"/>
              <w:widowControl/>
              <w:numPr>
                <w:ilvl w:val="0"/>
                <w:numId w:val="2"/>
              </w:numPr>
              <w:spacing w:before="0" w:after="120"/>
              <w:ind w:hanging="360" w:start="320"/>
              <w:contextualSpacing/>
              <w:jc w:val="start"/>
              <w:rPr>
                <w:rFonts w:cs="Times New Roman"/>
                <w:sz w:val="20"/>
                <w:szCs w:val="20"/>
              </w:rPr>
            </w:pPr>
            <w:r>
              <w:rPr>
                <w:rFonts w:eastAsia="Source Sans Pro" w:cs="Times New Roman"/>
                <w:kern w:val="0"/>
                <w:sz w:val="20"/>
                <w:szCs w:val="20"/>
                <w:lang w:val="de-DE" w:eastAsia="en-US" w:bidi="ar-SA"/>
              </w:rPr>
              <w:t>Erläutern Sie, wie das Projekt über den Förderzeitraum hinaus strukturelle bzw. nachhaltige Wirkungen (innerhalb und/oder außerhalb der beteiligten Hochschulen) auf die Zielgruppen und adressierten Bereiche entfalten wird. G</w:t>
            </w:r>
            <w:r>
              <w:rPr>
                <w:rFonts w:eastAsia="Source Sans Pro" w:cs="Arial"/>
                <w:kern w:val="0"/>
                <w:sz w:val="20"/>
                <w:szCs w:val="20"/>
                <w:lang w:val="de-DE" w:eastAsia="en-US" w:bidi="ar-SA"/>
              </w:rPr>
              <w:t>ehen Sie auch darauf ein, wie n</w:t>
            </w:r>
            <w:r>
              <w:rPr>
                <w:rFonts w:eastAsia="Source Sans Pro" w:cs="Times New Roman"/>
                <w:kern w:val="0"/>
                <w:sz w:val="20"/>
                <w:szCs w:val="20"/>
                <w:lang w:val="de-DE" w:eastAsia="en-US" w:bidi="ar-SA"/>
              </w:rPr>
              <w:t>eu gewonnenen Erkenntnisse und besonders wirksame Ansätze, so aufbereitet werden, dass sie einer breiteren Nutzung im Hochschulkontext zugänglich sind.</w:t>
            </w:r>
          </w:p>
          <w:p>
            <w:pPr>
              <w:pStyle w:val="Normal"/>
              <w:widowControl/>
              <w:spacing w:before="0" w:after="120"/>
              <w:ind w:start="320"/>
              <w:contextualSpacing/>
              <w:jc w:val="start"/>
              <w:rPr>
                <w:rFonts w:cs="Times New Roman"/>
                <w:sz w:val="20"/>
                <w:szCs w:val="20"/>
                <w:u w:val="single"/>
              </w:rPr>
            </w:pPr>
            <w:r>
              <w:rPr>
                <w:rFonts w:eastAsia="Source Sans Pro" w:cs="Times New Roman"/>
                <w:kern w:val="0"/>
                <w:sz w:val="20"/>
                <w:szCs w:val="20"/>
                <w:u w:val="single"/>
                <w:lang w:val="de-DE" w:eastAsia="en-US" w:bidi="ar-SA"/>
              </w:rPr>
              <w:t>Hinweis:</w:t>
            </w:r>
          </w:p>
          <w:p>
            <w:pPr>
              <w:pStyle w:val="Normal"/>
              <w:widowControl/>
              <w:spacing w:before="0" w:after="120"/>
              <w:ind w:start="318"/>
              <w:jc w:val="start"/>
              <w:rPr>
                <w:rFonts w:cs="Times New Roman"/>
                <w:sz w:val="20"/>
                <w:szCs w:val="20"/>
              </w:rPr>
            </w:pPr>
            <w:r>
              <w:rPr>
                <w:rFonts w:eastAsia="Source Sans Pro" w:cs="Times New Roman"/>
                <w:kern w:val="0"/>
                <w:sz w:val="20"/>
                <w:szCs w:val="20"/>
                <w:lang w:val="de-DE" w:eastAsia="en-US" w:bidi="ar-SA"/>
              </w:rPr>
              <w:t>Die Projektergebnisse (Outputs) und Projektziele (Outcomes) sowie die wertbestückten Erfolgsindikatoren müssen in der Projektbeschreibung und Projektplanungsübersicht übereinstimmen.</w:t>
            </w:r>
          </w:p>
          <w:p>
            <w:pPr>
              <w:pStyle w:val="Normal"/>
              <w:widowControl/>
              <w:spacing w:before="0" w:after="120"/>
              <w:jc w:val="start"/>
              <w:rPr>
                <w:rFonts w:cs="Times New Roman"/>
                <w:iCs/>
                <w:sz w:val="20"/>
              </w:rPr>
            </w:pPr>
            <w:r>
              <w:rPr>
                <w:rFonts w:eastAsia="" w:cs="Arial" w:eastAsiaTheme="majorEastAsia"/>
                <w:iCs/>
                <w:kern w:val="0"/>
                <w:sz w:val="20"/>
                <w:szCs w:val="20"/>
                <w:lang w:val="de-DE" w:eastAsia="en-US" w:bidi="ar-SA"/>
              </w:rPr>
              <w:t>Verwenden Sie max. 8</w:t>
            </w:r>
            <w:r>
              <w:rPr>
                <w:rFonts w:eastAsia="" w:cs="Arial" w:eastAsiaTheme="majorEastAsia"/>
                <w:iCs/>
                <w:color w:val="FF0000"/>
                <w:kern w:val="0"/>
                <w:sz w:val="20"/>
                <w:szCs w:val="20"/>
                <w:lang w:val="de-DE" w:eastAsia="en-US" w:bidi="ar-SA"/>
              </w:rPr>
              <w:t xml:space="preserve"> </w:t>
            </w:r>
            <w:r>
              <w:rPr>
                <w:rFonts w:eastAsia="" w:cs="Arial" w:eastAsiaTheme="majorEastAsia"/>
                <w:iCs/>
                <w:kern w:val="0"/>
                <w:sz w:val="20"/>
                <w:szCs w:val="20"/>
                <w:lang w:val="de-DE" w:eastAsia="en-US" w:bidi="ar-SA"/>
              </w:rPr>
              <w:t xml:space="preserve">DIN A4-Seiten! </w:t>
            </w:r>
          </w:p>
        </w:tc>
      </w:tr>
    </w:tbl>
    <w:p>
      <w:pPr>
        <w:pStyle w:val="Normal"/>
        <w:rPr/>
      </w:pPr>
      <w:r>
        <w:rPr/>
      </w:r>
      <w:r>
        <w:br w:type="page"/>
      </w:r>
    </w:p>
    <w:tbl>
      <w:tblPr>
        <w:tblStyle w:val="TableGrid"/>
        <w:tblW w:w="5000" w:type="pct"/>
        <w:jc w:val="start"/>
        <w:tblInd w:w="-5" w:type="dxa"/>
        <w:tblLayout w:type="fixed"/>
        <w:tblCellMar>
          <w:top w:w="0" w:type="dxa"/>
          <w:start w:w="108" w:type="dxa"/>
          <w:bottom w:w="0" w:type="dxa"/>
          <w:end w:w="108" w:type="dxa"/>
        </w:tblCellMar>
        <w:tblLook w:val="04a0" w:noHBand="0" w:noVBand="1" w:firstColumn="1" w:lastRow="0" w:lastColumn="0" w:firstRow="1"/>
      </w:tblPr>
      <w:tblGrid>
        <w:gridCol w:w="9354"/>
      </w:tblGrid>
      <w:tr>
        <w:trPr>
          <w:trHeight w:val="648" w:hRule="atLeast"/>
        </w:trPr>
        <w:tc>
          <w:tcPr>
            <w:tcW w:w="9354" w:type="dxa"/>
            <w:tcBorders>
              <w:top w:val="single" w:sz="2" w:space="0" w:color="808080"/>
              <w:start w:val="single" w:sz="4" w:space="0" w:color="808080"/>
              <w:bottom w:val="single" w:sz="4" w:space="0" w:color="808080"/>
              <w:end w:val="single" w:sz="4" w:space="0" w:color="808080"/>
            </w:tcBorders>
          </w:tcPr>
          <w:p>
            <w:pPr>
              <w:pStyle w:val="Normal"/>
              <w:pageBreakBefore/>
              <w:widowControl/>
              <w:spacing w:lineRule="auto" w:line="259" w:before="0" w:after="0"/>
              <w:jc w:val="start"/>
              <w:rPr>
                <w:b/>
                <w:bCs/>
                <w:sz w:val="20"/>
              </w:rPr>
            </w:pPr>
            <w:r>
              <w:rPr>
                <w:rFonts w:eastAsia="Source Sans Pro" w:cs="Arial"/>
                <w:b/>
                <w:bCs/>
                <w:kern w:val="0"/>
                <w:sz w:val="20"/>
                <w:szCs w:val="22"/>
                <w:lang w:val="de-DE" w:eastAsia="en-US" w:bidi="ar-SA"/>
              </w:rPr>
              <w:t>1.1. Fachliche Ausrichtung</w:t>
            </w:r>
          </w:p>
          <w:p>
            <w:pPr>
              <w:pStyle w:val="Normal"/>
              <w:widowControl/>
              <w:spacing w:lineRule="auto" w:line="259" w:before="0" w:after="120"/>
              <w:jc w:val="both"/>
              <w:rPr>
                <w:sz w:val="20"/>
              </w:rPr>
            </w:pPr>
            <w:r>
              <w:rPr>
                <w:rFonts w:eastAsia="Source Sans Pro" w:cs="Arial"/>
                <w:kern w:val="0"/>
                <w:sz w:val="20"/>
                <w:szCs w:val="22"/>
                <w:lang w:val="de-DE" w:eastAsia="en-US" w:bidi="ar-SA"/>
              </w:rPr>
              <w:t>Die enge Verknüpfung von Sensorik und Künstlicher Intelligenz ist eine zentrale Voraussetzung für die Entwicklung der nächsten Generation intelligenter Technologien in Deutschland. Sie bildet die Grundlage für autonome und vernetzte Systeme in Schlüsselanwendungsfeldern wie Industrie 4.0, Mobilität, Gesundheitswesen und Energiewende. Insbesondere die Integration von KI-Methoden in sensornahe Systeme („Edge AI“) ermöglicht eine Echtzeitverarbeitung auf Basis lokaler Daten, reduziert Abhängigkeiten von außereuropäischen Cloud-Infrastrukturen und stärkt die technologische Souveränität. Die Qualifizierung hochentwickelter Fachkräfte in diesen eng verzahnten Bereichen ist daher von strategischer Bedeutung für den Wissenschafts-, Innovations- und Wirtschaftsstandort Deutschland und adressiert unmittelbar die Ziele der Hightech Agenda Deutschland.</w:t>
            </w:r>
          </w:p>
          <w:p>
            <w:pPr>
              <w:pStyle w:val="Normal"/>
              <w:widowControl/>
              <w:spacing w:lineRule="auto" w:line="259" w:before="0" w:after="120"/>
              <w:jc w:val="both"/>
              <w:rPr>
                <w:sz w:val="20"/>
              </w:rPr>
            </w:pPr>
            <w:r>
              <w:rPr>
                <w:rFonts w:eastAsia="Source Sans Pro" w:cs="Arial"/>
                <w:kern w:val="0"/>
                <w:sz w:val="20"/>
                <w:szCs w:val="22"/>
                <w:lang w:val="de-DE" w:eastAsia="en-US" w:bidi="ar-SA"/>
              </w:rPr>
              <w:t>Ziel des Projekts EXCELS ist es, an der Universität Siegen ein nachhaltiges internationales Netzwerk zur Erforschung intelligenter Sensorsysteme aufzubauen und dieses gezielt zur Gewinnung exzellenter internationaler Studierender für ein forschungsorientiertes Masterstudium zu nutzen. Masterstudierende nehmen dabei eine Schlüsselrolle ein, da sie bereits über eine solide fachliche Grundlage verfügen und unmittelbar in laufende Forschungs- und Entwicklungsprojekte eingebunden werden können. Sie stellen die zentrale Schnittstelle zwischen grundständiger Ausbildung und forschungs- bzw. anwendungsnaher Vertiefung dar und bilden zugleich das wichtigste Rekrutierungspotenzial für Promotionen, wissenschaftlichen Nachwuchs sowie hochqualifizierte Fachkräfte für Industrie und Forschung in Deutschland. Durch die frühzeitige Ansprache exzellenter internationaler Bachelorstudierender im (vor)letzten Studienjahr und ihre systematische Vorbereitung auf ein Masterstudium in Siegen werden diese gezielt an den deutschen Wissenschafts- und Innovationsstandort herangeführt und langfristig an ihn gebunden.</w:t>
            </w:r>
          </w:p>
          <w:p>
            <w:pPr>
              <w:pStyle w:val="Normal"/>
              <w:widowControl/>
              <w:spacing w:lineRule="auto" w:line="259" w:before="0" w:after="120"/>
              <w:jc w:val="both"/>
              <w:rPr>
                <w:sz w:val="20"/>
              </w:rPr>
            </w:pPr>
            <w:r>
              <w:rPr>
                <w:rFonts w:eastAsia="Source Sans Pro" w:cs="Arial"/>
                <w:kern w:val="0"/>
                <w:sz w:val="20"/>
                <w:szCs w:val="22"/>
                <w:lang w:val="de-DE" w:eastAsia="en-US" w:bidi="ar-SA"/>
              </w:rPr>
              <w:t>Die Projektverantwortung liegt im Department ET) der Universität Siegen: Die wissenschaftliche Gesamtleitung übernimmt Prof. Dr. Kristof van Laerhoven, der das Projekt inhaltlich, strategisch und fachlich steuert. Er ist verantwortlich für die fachliche Ausrichtung in den Bereichen KI und Sensorsysteme, die Einbindung aktueller Forschungsinhalte der Fakultät IV und des ZESS, die Qualitätssicherung der Auswahlprozesse sowie die akademische Vernetzung mit internationalen Partnerhochschulen.</w:t>
            </w:r>
          </w:p>
          <w:p>
            <w:pPr>
              <w:pStyle w:val="Normal"/>
              <w:widowControl/>
              <w:spacing w:lineRule="auto" w:line="259" w:before="0" w:after="120"/>
              <w:jc w:val="both"/>
              <w:rPr>
                <w:sz w:val="20"/>
              </w:rPr>
            </w:pPr>
            <w:r>
              <w:rPr>
                <w:rFonts w:eastAsia="Source Sans Pro" w:cs="Arial"/>
                <w:kern w:val="0"/>
                <w:sz w:val="20"/>
                <w:szCs w:val="22"/>
                <w:lang w:val="de-DE" w:eastAsia="en-US" w:bidi="ar-SA"/>
              </w:rPr>
              <w:t xml:space="preserve">Das ZESS bündelt exzellente Expertise in den Bereichen Maschinelles Lernen, Sensorik, Sensorfusion und Computational Imaging. Es fungiert als interdisziplinäre Forschungsplattform an der Schnittstelle von Elektrotechnik und Informatik, und adressiert zentrale Fragestellungen intelligenter, datengetriebener Sensorsysteme. Am ZESS sind unter anderem die DFG-geförderte interdisziplinäre Forschungsgruppe </w:t>
            </w:r>
            <w:hyperlink r:id="rId5">
              <w:r>
                <w:rPr>
                  <w:rStyle w:val="Hyperlink"/>
                  <w:rFonts w:eastAsia="Source Sans Pro" w:cs="Arial"/>
                  <w:kern w:val="0"/>
                  <w:sz w:val="20"/>
                  <w:szCs w:val="22"/>
                  <w:lang w:val="de-DE" w:eastAsia="en-US" w:bidi="ar-SA"/>
                </w:rPr>
                <w:t>Learning to Sense</w:t>
              </w:r>
            </w:hyperlink>
            <w:r>
              <w:rPr>
                <w:rFonts w:eastAsia="Source Sans Pro" w:cs="Arial"/>
                <w:kern w:val="0"/>
                <w:sz w:val="20"/>
                <w:szCs w:val="22"/>
                <w:lang w:val="de-DE" w:eastAsia="en-US" w:bidi="ar-SA"/>
              </w:rPr>
              <w:t xml:space="preserve"> sowie das Masterprogramm </w:t>
            </w:r>
            <w:hyperlink r:id="rId6">
              <w:r>
                <w:rPr>
                  <w:rStyle w:val="Hyperlink"/>
                  <w:rFonts w:eastAsia="Source Sans Pro" w:cs="Arial"/>
                  <w:kern w:val="0"/>
                  <w:sz w:val="20"/>
                  <w:szCs w:val="22"/>
                  <w:lang w:val="de-DE" w:eastAsia="en-US" w:bidi="ar-SA"/>
                </w:rPr>
                <w:t>EMINENT</w:t>
              </w:r>
            </w:hyperlink>
            <w:r>
              <w:rPr>
                <w:rFonts w:eastAsia="Source Sans Pro" w:cs="Arial"/>
                <w:kern w:val="0"/>
                <w:sz w:val="20"/>
                <w:szCs w:val="22"/>
                <w:lang w:val="de-DE" w:eastAsia="en-US" w:bidi="ar-SA"/>
              </w:rPr>
              <w:t xml:space="preserve"> angesiedelt, die gemeinsam sowohl die internationale Vernetzung als auch die forschungs- und anwendungsorientierte Ausbildung in diesen Schlüsseltechnologien nachhaltig stärken. Beteiligt sind die ProfessorInnen Michael Möller (Computer Vision), Jasmin Grosinger (Communication Engineering), Volker Blanz (Medieninformatik &amp; 3D-Rekonstruktion), Andreas Kolb (Computergraphik &amp; Multimediasysteme), Bhaskar Choubey (Analogue Circuits and Image Sensors), Peter Kraemer (Structural Health Monitoring), Ivo Ihrke (Computational Sensorics), Jovita Lukasik (Visual Computing), Oliver Nelles (Mess- und Regelungstechnik), Martin Manns (Produktionsautomatisierung), sowie Peter Haring Bolívar (Höchstfrequenztechnik und Quantenelektronik). Diese gebündelte Kompetenz ermöglicht die Entwicklung neuartiger Sensorsysteme und KI-Lösungen, die technologisch, industriell und gesellschaftlich hochrelevant sind. Zudem ist das ZESS mit den Fraunhofer-Instituten </w:t>
            </w:r>
            <w:hyperlink r:id="rId7">
              <w:r>
                <w:rPr>
                  <w:rStyle w:val="Hyperlink"/>
                  <w:rFonts w:eastAsia="Source Sans Pro" w:cs="Arial"/>
                  <w:kern w:val="0"/>
                  <w:sz w:val="20"/>
                  <w:szCs w:val="22"/>
                  <w:lang w:val="de-DE" w:eastAsia="en-US" w:bidi="ar-SA"/>
                </w:rPr>
                <w:t>Fraunhofer IAIS</w:t>
              </w:r>
            </w:hyperlink>
            <w:r>
              <w:rPr>
                <w:rFonts w:eastAsia="Source Sans Pro" w:cs="Arial"/>
                <w:kern w:val="0"/>
                <w:sz w:val="20"/>
                <w:szCs w:val="22"/>
                <w:lang w:val="de-DE" w:eastAsia="en-US" w:bidi="ar-SA"/>
              </w:rPr>
              <w:t xml:space="preserve"> (Intelligente Analyse- und Informationssysteme) und </w:t>
            </w:r>
            <w:hyperlink r:id="rId8">
              <w:r>
                <w:rPr>
                  <w:rStyle w:val="Hyperlink"/>
                  <w:rFonts w:eastAsia="Source Sans Pro" w:cs="Arial"/>
                  <w:kern w:val="0"/>
                  <w:sz w:val="20"/>
                  <w:szCs w:val="22"/>
                  <w:lang w:val="de-DE" w:eastAsia="en-US" w:bidi="ar-SA"/>
                </w:rPr>
                <w:t>Fraunhofer FHR</w:t>
              </w:r>
            </w:hyperlink>
            <w:r>
              <w:rPr>
                <w:rFonts w:eastAsia="Source Sans Pro" w:cs="Arial"/>
                <w:kern w:val="0"/>
                <w:sz w:val="20"/>
                <w:szCs w:val="22"/>
                <w:lang w:val="de-DE" w:eastAsia="en-US" w:bidi="ar-SA"/>
              </w:rPr>
              <w:t xml:space="preserve"> (Hochfrequenzphysik und Radartechnik) verbunden, betreibt das Smart-Sensing Stipend Programme als Incentive und unterhält einen </w:t>
            </w:r>
            <w:hyperlink r:id="rId9">
              <w:r>
                <w:rPr>
                  <w:rStyle w:val="Hyperlink"/>
                  <w:rFonts w:eastAsia="Source Sans Pro" w:cs="Arial"/>
                  <w:kern w:val="0"/>
                  <w:sz w:val="20"/>
                  <w:szCs w:val="22"/>
                  <w:lang w:val="de-DE" w:eastAsia="en-US" w:bidi="ar-SA"/>
                </w:rPr>
                <w:t>Transfer Hub</w:t>
              </w:r>
            </w:hyperlink>
            <w:r>
              <w:rPr>
                <w:rFonts w:eastAsia="Source Sans Pro" w:cs="Arial"/>
                <w:kern w:val="0"/>
                <w:sz w:val="20"/>
                <w:szCs w:val="22"/>
                <w:lang w:val="de-DE" w:eastAsia="en-US" w:bidi="ar-SA"/>
              </w:rPr>
              <w:t xml:space="preserve">, der Forschungsergebnisse in Praxisanwendungen überführt. </w:t>
            </w:r>
          </w:p>
          <w:p>
            <w:pPr>
              <w:pStyle w:val="Normal"/>
              <w:widowControl/>
              <w:spacing w:lineRule="auto" w:line="259" w:before="0" w:after="0"/>
              <w:jc w:val="start"/>
              <w:rPr>
                <w:b/>
                <w:bCs/>
                <w:sz w:val="20"/>
              </w:rPr>
            </w:pPr>
            <w:r>
              <w:rPr>
                <w:rFonts w:eastAsia="Source Sans Pro" w:cs="Arial"/>
                <w:b/>
                <w:bCs/>
                <w:kern w:val="0"/>
                <w:sz w:val="20"/>
                <w:szCs w:val="22"/>
                <w:lang w:val="de-DE" w:eastAsia="en-US" w:bidi="ar-SA"/>
              </w:rPr>
              <w:t>1.2. Onboarding</w:t>
            </w:r>
          </w:p>
          <w:p>
            <w:pPr>
              <w:pStyle w:val="Normal"/>
              <w:widowControl/>
              <w:spacing w:lineRule="auto" w:line="259" w:before="0" w:after="120"/>
              <w:jc w:val="both"/>
              <w:rPr>
                <w:sz w:val="20"/>
              </w:rPr>
            </w:pPr>
            <w:r>
              <w:rPr>
                <w:rFonts w:eastAsia="Source Sans Pro" w:cs="Arial"/>
                <w:kern w:val="0"/>
                <w:sz w:val="20"/>
                <w:szCs w:val="22"/>
                <w:lang w:val="de-DE" w:eastAsia="en-US" w:bidi="ar-SA"/>
              </w:rPr>
              <w:t>Die geplanten Onboarding-Maßnahmen in EXCELS gehen bewusst über die bereits etablierten Willkommens- und Vorbereitungsangebote hinaus. Sie verfolgen einen integrierten, hochspezialisierten Ansatz, der gezielt auf die akademischen, organisatorischen und sozialen Anforderungen internationaler Studierender in forschungsintensiven Hightech-Studiengängen zugeschnitten ist. Ziel ist es, Studienerfolg zu sichern, Übergangsrisiken in die Masterstudiengänge zu minimieren und eine frühzeitige akademische wie soziale Integration in den deutschen Wissenschafts- und Innovationsstandort zu ermöglichen.</w:t>
            </w:r>
          </w:p>
          <w:p>
            <w:pPr>
              <w:pStyle w:val="Normal"/>
              <w:widowControl/>
              <w:spacing w:lineRule="auto" w:line="259" w:before="0" w:after="0"/>
              <w:jc w:val="both"/>
              <w:rPr>
                <w:sz w:val="20"/>
              </w:rPr>
            </w:pPr>
            <w:bookmarkStart w:id="6" w:name="OLE_LINK9"/>
            <w:r>
              <w:rPr>
                <w:rFonts w:eastAsia="Source Sans Pro" w:cs="Arial"/>
                <w:b/>
                <w:bCs/>
                <w:kern w:val="0"/>
                <w:sz w:val="20"/>
                <w:szCs w:val="22"/>
                <w:lang w:val="de-DE" w:eastAsia="en-US" w:bidi="ar-SA"/>
              </w:rPr>
              <w:t>Digital Prep.</w:t>
            </w:r>
            <w:r>
              <w:rPr>
                <w:rFonts w:eastAsia="Source Sans Pro" w:cs="Arial"/>
                <w:kern w:val="0"/>
                <w:sz w:val="20"/>
                <w:szCs w:val="22"/>
                <w:lang w:val="de-DE" w:eastAsia="en-US" w:bidi="ar-SA"/>
              </w:rPr>
              <w:t xml:space="preserve"> Zentraler Bestandteil des Vorhabens ist ein strukturiertes Onboarding, das bereits vor einem Studienbeginn ansetzt und gezielt fachliche Anschlussfähigkeit, Orientierungssicherheit sowie eine frühe Bindung an die Universität Siegen fördert. Es umfasst:</w:t>
            </w:r>
          </w:p>
          <w:p>
            <w:pPr>
              <w:pStyle w:val="ListParagraph"/>
              <w:widowControl/>
              <w:numPr>
                <w:ilvl w:val="0"/>
                <w:numId w:val="4"/>
              </w:numPr>
              <w:spacing w:lineRule="auto" w:line="259" w:before="0" w:after="120"/>
              <w:ind w:hanging="270" w:start="251"/>
              <w:contextualSpacing/>
              <w:jc w:val="both"/>
              <w:rPr>
                <w:sz w:val="20"/>
              </w:rPr>
            </w:pPr>
            <w:r>
              <w:rPr>
                <w:rFonts w:eastAsia="Source Sans Pro" w:cs="Arial"/>
                <w:kern w:val="0"/>
                <w:sz w:val="20"/>
                <w:szCs w:val="22"/>
                <w:lang w:val="de-DE" w:eastAsia="en-US" w:bidi="ar-SA"/>
              </w:rPr>
              <w:t xml:space="preserve">Fachlich anspruchsvolle Online-Module zu KI und Sensorsystemen, die auf die Masterstudiengänge abgestimmt sind und einen gemeinsamen Wissensstand herstellen. Ergänzend wird ein Publikations-Workshop vom House of Young Talents (HYT) angeboten, in dem Studierende Tools und Strategien erlernen, um aus ihren Projekten oder Abschlussarbeiten wissenschaftliche Publikationen zu entwickeln. </w:t>
            </w:r>
          </w:p>
          <w:p>
            <w:pPr>
              <w:pStyle w:val="ListParagraph"/>
              <w:widowControl/>
              <w:numPr>
                <w:ilvl w:val="0"/>
                <w:numId w:val="4"/>
              </w:numPr>
              <w:spacing w:lineRule="auto" w:line="259" w:before="0" w:after="120"/>
              <w:ind w:hanging="270" w:start="251"/>
              <w:contextualSpacing/>
              <w:jc w:val="both"/>
              <w:rPr>
                <w:sz w:val="20"/>
              </w:rPr>
            </w:pPr>
            <w:r>
              <w:rPr>
                <w:rFonts w:eastAsia="Source Sans Pro" w:cs="Arial"/>
                <w:kern w:val="0"/>
                <w:sz w:val="20"/>
                <w:szCs w:val="22"/>
                <w:lang w:val="de-DE" w:eastAsia="en-US" w:bidi="ar-SA"/>
              </w:rPr>
              <w:t>Eine Einführung in deutsche Lehr-, Lern- und Prüfungskulturen, die Erwartungen transparent macht und Studienerfolg erleichtern soll. Diese Formate werden von ETI und IO in Kooperation organisiert.</w:t>
            </w:r>
          </w:p>
          <w:p>
            <w:pPr>
              <w:pStyle w:val="ListParagraph"/>
              <w:widowControl/>
              <w:numPr>
                <w:ilvl w:val="0"/>
                <w:numId w:val="4"/>
              </w:numPr>
              <w:spacing w:lineRule="auto" w:line="259" w:before="0" w:after="120"/>
              <w:ind w:hanging="270" w:start="251"/>
              <w:contextualSpacing/>
              <w:jc w:val="both"/>
              <w:rPr>
                <w:sz w:val="20"/>
              </w:rPr>
            </w:pPr>
            <w:r>
              <w:rPr>
                <w:rFonts w:eastAsia="Source Sans Pro" w:cs="Arial"/>
                <w:kern w:val="0"/>
                <w:sz w:val="20"/>
                <w:szCs w:val="22"/>
                <w:lang w:val="de-DE" w:eastAsia="en-US" w:bidi="ar-SA"/>
              </w:rPr>
              <w:t>Digitale Informations- und Beratungsangebote zu Bewerbung, Zulassung, und administrativen Abläufen, die einen reibungslosen Studienstart und -erfolg unterstützen, deren Planung vom IO erfolgt.</w:t>
            </w:r>
          </w:p>
          <w:p>
            <w:pPr>
              <w:pStyle w:val="ListParagraph"/>
              <w:widowControl/>
              <w:numPr>
                <w:ilvl w:val="0"/>
                <w:numId w:val="4"/>
              </w:numPr>
              <w:spacing w:lineRule="auto" w:line="259" w:before="0" w:after="0"/>
              <w:ind w:hanging="270" w:start="251"/>
              <w:contextualSpacing/>
              <w:jc w:val="both"/>
              <w:rPr>
                <w:sz w:val="20"/>
              </w:rPr>
            </w:pPr>
            <w:bookmarkStart w:id="7" w:name="OLE_LINK9"/>
            <w:r>
              <w:rPr>
                <w:rFonts w:eastAsia="Source Sans Pro" w:cs="Arial"/>
                <w:kern w:val="0"/>
                <w:sz w:val="20"/>
                <w:szCs w:val="22"/>
                <w:lang w:val="de-DE" w:eastAsia="en-US" w:bidi="ar-SA"/>
              </w:rPr>
              <w:t>Moderierte Austauschformate mit Lehrenden und Forschenden der Universität Siegen, die persönliche Kontakte herstellen, akademische Netzwerke aufbauen und eine frühe soziale Integration fördern. Diese Formate werden von ETI und IO in Kooperation organisiert.</w:t>
            </w:r>
            <w:bookmarkEnd w:id="7"/>
          </w:p>
          <w:p>
            <w:pPr>
              <w:pStyle w:val="Normal"/>
              <w:widowControl/>
              <w:spacing w:lineRule="auto" w:line="259" w:before="0" w:after="120"/>
              <w:jc w:val="both"/>
              <w:rPr>
                <w:i/>
                <w:i/>
                <w:iCs/>
                <w:sz w:val="20"/>
              </w:rPr>
            </w:pPr>
            <w:r>
              <w:rPr>
                <w:rFonts w:eastAsia="Source Sans Pro" w:cs="Arial"/>
                <w:kern w:val="0"/>
                <w:sz w:val="20"/>
                <w:szCs w:val="22"/>
                <w:lang w:val="de-DE" w:eastAsia="en-US" w:bidi="ar-SA"/>
              </w:rPr>
              <w:t xml:space="preserve">Der fachliche Kompetenzzuwachs wird durch digitale Vor- (Pre-) und Nachtests (Post-Evaluation) in Form von Multiple-Choice-Tests zu den Grundlagen der KI und Sensorsysteme erfasst. Durch die systematische Kombination fachlicher Vorbereitung, administrativer Orientierung und persönlicher Vernetzung wird der Übergang in das Masterstudium gezielt erleichtert und eine nachhaltige akademische und soziale Integration gefördert. An den Maßnahmen von Digital Prep sollen jährlich 30-50 exzellente Studierende teilnehmen, mehr Teilnehmende wären jedoch auch möglich. </w:t>
            </w:r>
          </w:p>
          <w:p>
            <w:pPr>
              <w:pStyle w:val="Normal"/>
              <w:widowControl/>
              <w:spacing w:lineRule="auto" w:line="259" w:before="0" w:after="120"/>
              <w:jc w:val="both"/>
              <w:rPr>
                <w:i/>
                <w:i/>
                <w:iCs/>
                <w:sz w:val="20"/>
              </w:rPr>
            </w:pPr>
            <w:r>
              <w:rPr>
                <w:rFonts w:eastAsia="Source Sans Pro" w:cs="Arial"/>
                <w:b/>
                <w:bCs/>
                <w:kern w:val="0"/>
                <w:sz w:val="20"/>
                <w:szCs w:val="22"/>
                <w:lang w:val="de-DE" w:eastAsia="en-US" w:bidi="ar-SA"/>
              </w:rPr>
              <w:t>Summer School.</w:t>
            </w:r>
            <w:r>
              <w:rPr>
                <w:rFonts w:eastAsia="Source Sans Pro" w:cs="Arial"/>
                <w:kern w:val="0"/>
                <w:sz w:val="20"/>
                <w:szCs w:val="22"/>
                <w:lang w:val="de-DE" w:eastAsia="en-US" w:bidi="ar-SA"/>
              </w:rPr>
              <w:t xml:space="preserve"> Das Onboarding wird durch eine zweiwöchige, forschungsnahe Summer School an der Universität Siegen vertieft. Diese verbindet projektbasierte Teamarbeit, Laborbesuche und Forschungs-demonstratoren aus den Bereichen KI und Sensorsysteme mit strukturierten Networking-Formaten. Die Teilnehmenden erhalten frühzeitig Einblicke in laufende Forschungsprojekte, Arbeitsgruppen und potenzielle Betreuungskontexte und können eigene fachliche Interessen im Forschungsumfeld erproben. Die Summer School fördert zugleich durch gemeinsame Projektarbeit und soziale Formate den Aufbau belastbarer Peer-Netzwerke, die für Studienerfolg, Motivation und langfristige Bindung an den Studien- und Forschungsstandort Deutschland von zentraler Bedeutung sind. An der Summer School sollen ab 2027 jährlich 15 Studierende aus definierten Zielländern teilnehmen, die vornehmlich aus den Digital Prep-Angeboten rekrutiert werden sollen.</w:t>
            </w:r>
          </w:p>
          <w:p>
            <w:pPr>
              <w:pStyle w:val="Normal"/>
              <w:widowControl/>
              <w:spacing w:lineRule="auto" w:line="259" w:before="0" w:after="120"/>
              <w:jc w:val="both"/>
              <w:rPr>
                <w:sz w:val="20"/>
              </w:rPr>
            </w:pPr>
            <w:r>
              <w:rPr>
                <w:rFonts w:eastAsia="Source Sans Pro" w:cs="Arial"/>
                <w:kern w:val="0"/>
                <w:sz w:val="20"/>
                <w:szCs w:val="22"/>
                <w:lang w:val="de-DE" w:eastAsia="en-US" w:bidi="ar-SA"/>
              </w:rPr>
              <w:t xml:space="preserve">Eine besondere Maßnahme zur Steigerung der Attraktivität der Summer School umfasst die Verknüpfung mit dem jährlichen </w:t>
            </w:r>
            <w:hyperlink r:id="rId10">
              <w:r>
                <w:rPr>
                  <w:rStyle w:val="Hyperlink"/>
                  <w:rFonts w:eastAsia="Source Sans Pro" w:cs="Arial"/>
                  <w:kern w:val="0"/>
                  <w:sz w:val="20"/>
                  <w:szCs w:val="22"/>
                  <w:lang w:val="de-DE" w:eastAsia="en-US" w:bidi="ar-SA"/>
                </w:rPr>
                <w:t>Research Forum</w:t>
              </w:r>
            </w:hyperlink>
            <w:r>
              <w:rPr>
                <w:rFonts w:eastAsia="Source Sans Pro" w:cs="Arial"/>
                <w:kern w:val="0"/>
                <w:sz w:val="20"/>
                <w:szCs w:val="22"/>
                <w:lang w:val="de-DE" w:eastAsia="en-US" w:bidi="ar-SA"/>
              </w:rPr>
              <w:t xml:space="preserve"> des ZESS, bei dem Promovierende ihre Arbeiten in Vorträgen und Posterpräsentationen vorstellen. Dies ist eine Gelegenheit, um die Summer School noch attraktiver und praxisnaher zu gestalten. Durch die Integration von „Research Ask-Me-Anything Sessions“ erhalten die Teilnehmenden die Chance, in kurzen, dynamischen Gesprächen direkt mit den Forschenden und ProfessorInnen ins Gespräch zu kommen, ihre aktuellen Projekte kennenzulernen und potenzielle Betreuungspersonen oder Themen für Abschlussarbeiten zu identifizieren. Ergänzt wird dies durch „Junior meets Senior bzw. Alumni-Stories“, bei denen ehemalige internationale Masterstudierende und Promovierende über ihre Erfahrungen in Siegen, Karrierewege und Tipps für den Einstieg in Forschung oder Industrie berichten, was nicht nur Motivation und Identifikation schafft, sondern auch konkrete Perspektiven für die eigene Zukunft aufzeigt. Diese Kombination aus Networking, Vorbildern und Karriereförderung deckt drei zentrale Bedürfnisse der Zielgruppe gleichzeitig ab: Ein direkter Zugang zu Forschung und Betreuung, authentische Einblicke in Karrierewege und konkrete Unterstützung für die wissenschaftliche Karriere. Durch die Einbindung des Research Forums – unterstützt vom VDI Kreis Siegen – profitieren die Teilnehmenden zudem von einem professionellen und inspirierenden Umfeld, das Industriekontakte, wissenschaftlichen Austausch und Netzwerkbildung fördert. Dies macht die Summer School zu einem einzigartigen Erlebnis, das weit über klassische Onboarding-Maßnahmen hinausgeht.</w:t>
            </w:r>
          </w:p>
          <w:p>
            <w:pPr>
              <w:pStyle w:val="Normal"/>
              <w:widowControl/>
              <w:spacing w:lineRule="auto" w:line="259" w:before="0" w:after="120"/>
              <w:jc w:val="both"/>
              <w:rPr>
                <w:sz w:val="20"/>
              </w:rPr>
            </w:pPr>
            <w:r>
              <w:rPr>
                <w:rFonts w:eastAsia="Source Sans Pro" w:cs="Arial"/>
                <w:b/>
                <w:bCs/>
                <w:kern w:val="0"/>
                <w:sz w:val="20"/>
                <w:szCs w:val="22"/>
                <w:lang w:val="de-DE" w:eastAsia="en-US" w:bidi="ar-SA"/>
              </w:rPr>
              <w:t>Post-Recruitment-Phase.</w:t>
            </w:r>
            <w:r>
              <w:rPr>
                <w:rFonts w:eastAsia="Source Sans Pro" w:cs="Arial"/>
                <w:kern w:val="0"/>
                <w:sz w:val="20"/>
                <w:szCs w:val="22"/>
                <w:lang w:val="de-DE" w:eastAsia="en-US" w:bidi="ar-SA"/>
              </w:rPr>
              <w:t xml:space="preserve"> Die Post-Recruitment-Begleitung, also idealerweise der Übergang von der Summer School zu Bewerbung/Einschreibung in einen der beiden Masterstudiengänge ist als individueller Unterstützungsprozess konzipiert, der Studierende frühzeitig in Forschung und Praxis einbindet und den Übergang in weiterführende Qualifizierungs- und Karrierepfade vorbereitet. Bereits vor Studienbeginn erhalten die Studierenden eine persönliche MentorIn (ETI oder ZESS). Individuelle Entwicklungspläne berücksichtigen fachliche Vorleistungen, ermöglichen Industriepraktika bei Partnerinstitutionen (u. a. Fraunhofer-Institute und regionale Unternehmen) und fördern die Beteiligung an wissenschaftlichen Publikationsprojekten. Begleitende Workshops zu wissenschaftlichem Arbeiten, Datenanalyse und Publikationsprozessen sowie die Einbindung in Forschungsgruppen schaffen frühzeitig praktische Forschungserfahrung. Ergänzend können jährlich ein bis zwei besonders leistungsstarke Studierende durch ein ZESS-Stipendium (992€ brutto pro Monat) gezielt für ein Masterstudium in Siegen gewonnen werden. Ziel ist eine nahtlose Studienaufnahme, eine nachhaltige Bindung an den Standort Siegen und eine fundierte Vorbereitung auf eine wissenschaftliche oder industrielle Karriere in Deutschland.</w:t>
            </w:r>
          </w:p>
          <w:p>
            <w:pPr>
              <w:pStyle w:val="Normal"/>
              <w:widowControl/>
              <w:spacing w:lineRule="auto" w:line="259" w:before="0" w:after="0"/>
              <w:jc w:val="start"/>
              <w:rPr>
                <w:b/>
                <w:bCs/>
                <w:sz w:val="20"/>
              </w:rPr>
            </w:pPr>
            <w:r>
              <w:rPr>
                <w:rFonts w:eastAsia="Source Sans Pro" w:cs="Arial"/>
                <w:b/>
                <w:bCs/>
                <w:kern w:val="0"/>
                <w:sz w:val="20"/>
                <w:szCs w:val="22"/>
                <w:lang w:val="de-DE" w:eastAsia="en-US" w:bidi="ar-SA"/>
              </w:rPr>
              <w:t>1.3. Recruiting-Reisen und flankierende Marketing-Kampagne</w:t>
            </w:r>
          </w:p>
          <w:p>
            <w:pPr>
              <w:pStyle w:val="Normal"/>
              <w:widowControl/>
              <w:spacing w:lineRule="auto" w:line="259" w:before="0" w:after="0"/>
              <w:jc w:val="both"/>
              <w:rPr>
                <w:sz w:val="20"/>
              </w:rPr>
            </w:pPr>
            <w:r>
              <w:rPr>
                <w:rFonts w:eastAsia="Source Sans Pro" w:cs="Arial"/>
                <w:kern w:val="0"/>
                <w:sz w:val="20"/>
                <w:szCs w:val="22"/>
                <w:lang w:val="de-DE" w:eastAsia="en-US" w:bidi="ar-SA"/>
              </w:rPr>
              <w:t>Das EXCELS-Team wird Recruiting-Reisen in definierte Zielländer (regionale Schwerpunkte) unternehmen, um auf Messen gezielt hochqualifizierte internationale Studierende anzusprechen. Diese Reisen werden jeweils mit Besuchen an Partneruniversitäten im Land verbunden, um Teilnehmende für die Digital Prep-Formate und die Summer School zu rekrutieren und die Sichtbarkeit des Forschungsstandortes Siegen zu erhöhen. Das Messeteam wird jeweils aus VertreterInnen von den Lehrstühlen und dem IO bestehen, damit fachliche, administrative und soziale- integrative Fragen der Interessierten und ggf. der Eltern/ Familien direkt beantwortet werden können.</w:t>
            </w:r>
          </w:p>
          <w:p>
            <w:pPr>
              <w:pStyle w:val="Normal"/>
              <w:widowControl/>
              <w:spacing w:lineRule="auto" w:line="259" w:before="0" w:after="0"/>
              <w:jc w:val="both"/>
              <w:rPr>
                <w:sz w:val="20"/>
              </w:rPr>
            </w:pPr>
            <w:r>
              <w:rPr>
                <w:rFonts w:eastAsia="Source Sans Pro" w:cs="Arial"/>
                <w:kern w:val="0"/>
                <w:sz w:val="20"/>
                <w:szCs w:val="22"/>
                <w:lang w:val="de-DE" w:eastAsia="en-US" w:bidi="ar-SA"/>
              </w:rPr>
              <w:t>Die Maßnahmen zur Anwerbung werden von einer Marketing-Kampagne flankiert, , die der zielgerichteten Ansprache und vorgeschalteten Vorselektion geeigneter internationaler Studieninteressierter für die projektbezogenen, qualitätsgesicherten Formate dient. Aus den Projektmitteln sollen zwei Studiengang-Videos und ein Video für internationalen Studierenden in Siegen produziert werden. Die Videos werden in verschiedenen Versionen und Längen produziert, damit sie für Instagram, TikTok, YouTube und LinkedIn nutzbar sind. Die Videos werden im ersten Projektjahr produziert und im gesamten Projektverlauf genutzt. Als zweites Element werden Studiengangsprofile auf kommerziellen Plattformen geschaltet werden, die für die beiden am Projekt beteiligten Masterstudiengänge (Computer Science und Electrical Engineering) werben. Eine länderspezifische Werbekampagne (Indien, Vietnam, Pakistan, Thailand, Ghana, Kenia) rundet das Marketing als drittes Element ab. Da die Recruiting-Reisen nur bestimmte Städte und Standorte erreichen können, sollen das Projekt EXCELS und die Studiengänge online beworben werden, mit entsprechenden Anzeigen über Google Ads, Facebook Ads und LinkedIn Ads. Die Werbung auf LLM-Plattformen wie ChatGPT soll in EXCELS ebenfalls pilotiert werden, da sie die studentische Zielgruppe gezielt adressiert.  Aus den Projektmitteln wird als viertes Element eine Anzeige in der englischsprachigen Publikation der ZEIT (Study &amp; Research in Germany) finanziert, da das Magazin bei deutschen Auslandsvertretungen, beim DAAD und den Goethe Instituten ausliegt. Zudem gibt es eine PDF- Version, so dass die Publikation reichweitenstark ist und einen großen Talentpool erreichen kann.</w:t>
            </w:r>
          </w:p>
          <w:p>
            <w:pPr>
              <w:pStyle w:val="Normal"/>
              <w:widowControl/>
              <w:spacing w:lineRule="auto" w:line="259" w:before="0" w:after="0"/>
              <w:jc w:val="both"/>
              <w:rPr>
                <w:sz w:val="20"/>
              </w:rPr>
            </w:pPr>
            <w:r>
              <w:rPr>
                <w:rFonts w:eastAsia="Source Sans Pro" w:cs="Arial"/>
                <w:kern w:val="0"/>
                <w:sz w:val="20"/>
                <w:szCs w:val="22"/>
                <w:lang w:val="de-DE" w:eastAsia="en-US" w:bidi="ar-SA"/>
              </w:rPr>
            </w:r>
          </w:p>
          <w:p>
            <w:pPr>
              <w:pStyle w:val="Normal"/>
              <w:widowControl/>
              <w:spacing w:lineRule="auto" w:line="259" w:before="0" w:after="0"/>
              <w:jc w:val="both"/>
              <w:rPr>
                <w:b/>
                <w:bCs/>
                <w:sz w:val="20"/>
              </w:rPr>
            </w:pPr>
            <w:r>
              <w:rPr>
                <w:rFonts w:eastAsia="Source Sans Pro" w:cs="Arial"/>
                <w:b/>
                <w:bCs/>
                <w:kern w:val="0"/>
                <w:sz w:val="20"/>
                <w:szCs w:val="22"/>
                <w:lang w:val="de-DE" w:eastAsia="en-US" w:bidi="ar-SA"/>
              </w:rPr>
              <w:t xml:space="preserve">1.4. Auswahl der Teilnehmenden </w:t>
            </w:r>
          </w:p>
          <w:p>
            <w:pPr>
              <w:pStyle w:val="Normal"/>
              <w:widowControl/>
              <w:spacing w:lineRule="auto" w:line="259" w:before="0" w:after="0"/>
              <w:jc w:val="both"/>
              <w:rPr>
                <w:sz w:val="20"/>
              </w:rPr>
            </w:pPr>
            <w:r>
              <w:rPr>
                <w:rFonts w:eastAsia="Source Sans Pro" w:cs="Arial"/>
                <w:kern w:val="0"/>
                <w:sz w:val="20"/>
                <w:szCs w:val="22"/>
                <w:lang w:val="de-DE" w:eastAsia="en-US" w:bidi="ar-SA"/>
              </w:rPr>
              <w:t>Das Projekt verfolgt einen transparenten und zweistufigen Auswahlprozess, der klar zwischen der Teilnahme an den Digital-Prep-Formaten und der Auswahl für die forschungsnahe Summer School unterscheidet. Die Teilnahme an den Digital-Prep-Formaten dient der frühen, qualitätsgesicherten Ansprache leistungsstarker internationaler Bachelorstudierender. Die Auswahl erfolgt auf Basis der bisherigen akademischen Leistungen (Noten): Zugelassen werden Studierende, deren Leistungen sie in der Regel in das obere Quartil ihres Jahrgangs einordnen oder die nachweislich zu den leistungsstärkeren Studierenden ihres Studiengangs zählen. Die Auswahl für die Summer School erfolgt in einem zweiten Schritt und ist deutlich stärker qualitäts- und passungsorientiert ausgestaltet. Dieser Auswahlprozess berücksichtigt formale und qualitative Aspekte:</w:t>
            </w:r>
          </w:p>
          <w:p>
            <w:pPr>
              <w:pStyle w:val="Normal"/>
              <w:widowControl/>
              <w:spacing w:lineRule="auto" w:line="259" w:before="0" w:after="0"/>
              <w:jc w:val="both"/>
              <w:rPr>
                <w:sz w:val="20"/>
              </w:rPr>
            </w:pPr>
            <w:r>
              <w:rPr>
                <w:rFonts w:eastAsia="Source Sans Pro" w:cs="Arial"/>
                <w:i/>
                <w:iCs/>
                <w:kern w:val="0"/>
                <w:sz w:val="20"/>
                <w:szCs w:val="22"/>
                <w:lang w:val="de-DE" w:eastAsia="en-US" w:bidi="ar-SA"/>
              </w:rPr>
              <w:t>Akademische Exzellenz.</w:t>
            </w:r>
            <w:r>
              <w:rPr>
                <w:rFonts w:eastAsia="Source Sans Pro" w:cs="Arial"/>
                <w:kern w:val="0"/>
                <w:sz w:val="20"/>
                <w:szCs w:val="22"/>
                <w:lang w:val="de-DE" w:eastAsia="en-US" w:bidi="ar-SA"/>
              </w:rPr>
              <w:t xml:space="preserve"> Neben den formalen Kriterien wird besonderer Wert auf akademische Exzellenz gelegt. BewerberInnen sollten überdurchschnittliche Studienleistungen, die sie in das obere Quartil ihres Jahrgangs einordnen, vorweisen. Auch wichtig hier sind solide mathematische und algorithmische Grundlagen, die für ein Studium in den Bereichen KI und Sensorsysteme/Mikroelektronik essenziell sind.</w:t>
            </w:r>
          </w:p>
          <w:p>
            <w:pPr>
              <w:pStyle w:val="Normal"/>
              <w:widowControl/>
              <w:spacing w:lineRule="auto" w:line="259" w:before="0" w:after="0"/>
              <w:jc w:val="both"/>
              <w:rPr>
                <w:sz w:val="20"/>
              </w:rPr>
            </w:pPr>
            <w:r>
              <w:rPr>
                <w:rFonts w:eastAsia="Source Sans Pro" w:cs="Arial"/>
                <w:i/>
                <w:iCs/>
                <w:kern w:val="0"/>
                <w:sz w:val="20"/>
                <w:szCs w:val="22"/>
                <w:lang w:val="de-DE" w:eastAsia="en-US" w:bidi="ar-SA"/>
              </w:rPr>
              <w:t>Fachliche Passung &amp; Forschungsinteresse.</w:t>
            </w:r>
            <w:r>
              <w:rPr>
                <w:rFonts w:eastAsia="Source Sans Pro" w:cs="Arial"/>
                <w:kern w:val="0"/>
                <w:sz w:val="20"/>
                <w:szCs w:val="22"/>
                <w:lang w:val="de-DE" w:eastAsia="en-US" w:bidi="ar-SA"/>
              </w:rPr>
              <w:t xml:space="preserve"> Diese Kriterien stellen sicher, dass die ausgewählten Studierenden akademisch qualifiziert sind und ein klares, nachhaltiges Interesse an den Schwerpunktthemen haben. Hier werden Aspekte, wie Nachgewiesenes Interesse an KI Intelligenz, Sensorsystemen oder Mikroelektronik (z. B. durch Projekte in diesen Bereichen), berücksichtigt.</w:t>
            </w:r>
          </w:p>
          <w:p>
            <w:pPr>
              <w:pStyle w:val="Normal"/>
              <w:widowControl/>
              <w:spacing w:lineRule="auto" w:line="259" w:before="0" w:after="120"/>
              <w:jc w:val="both"/>
              <w:rPr>
                <w:sz w:val="20"/>
              </w:rPr>
            </w:pPr>
            <w:r>
              <w:rPr>
                <w:rFonts w:eastAsia="Source Sans Pro" w:cs="Arial"/>
                <w:i/>
                <w:iCs/>
                <w:kern w:val="0"/>
                <w:sz w:val="20"/>
                <w:szCs w:val="22"/>
                <w:lang w:val="de-DE" w:eastAsia="en-US" w:bidi="ar-SA"/>
              </w:rPr>
              <w:t>Motivation &amp; Entwicklungspotenzial.</w:t>
            </w:r>
            <w:r>
              <w:rPr>
                <w:rFonts w:eastAsia="Source Sans Pro" w:cs="Arial"/>
                <w:b/>
                <w:bCs/>
                <w:kern w:val="0"/>
                <w:sz w:val="20"/>
                <w:szCs w:val="22"/>
                <w:lang w:val="de-DE" w:eastAsia="en-US" w:bidi="ar-SA"/>
              </w:rPr>
              <w:t xml:space="preserve"> </w:t>
            </w:r>
            <w:r>
              <w:rPr>
                <w:rFonts w:eastAsia="Source Sans Pro" w:cs="Arial"/>
                <w:kern w:val="0"/>
                <w:sz w:val="20"/>
                <w:szCs w:val="22"/>
                <w:lang w:val="de-DE" w:eastAsia="en-US" w:bidi="ar-SA"/>
              </w:rPr>
              <w:t>Neben fachlichen und akademischen Kriterien werden persönliche Motivation und Entwicklungspotenzial berücksichtigt, insbesondere das Interesse an einer technologieorientierten Karriere sowie die aktive Teilnahme an Online-Angeboten als Ausdruck frühzeitiger Studienvorbereitung und Einbindung in das akademische Umfeld der Universität Siegen.</w:t>
            </w:r>
          </w:p>
          <w:p>
            <w:pPr>
              <w:pStyle w:val="Normal"/>
              <w:widowControl/>
              <w:spacing w:lineRule="auto" w:line="259" w:before="0" w:after="120"/>
              <w:jc w:val="both"/>
              <w:rPr>
                <w:sz w:val="20"/>
              </w:rPr>
            </w:pPr>
            <w:r>
              <w:rPr>
                <w:rFonts w:eastAsia="Source Sans Pro" w:cs="Arial"/>
                <w:kern w:val="0"/>
                <w:sz w:val="20"/>
                <w:szCs w:val="22"/>
                <w:lang w:val="de-DE" w:eastAsia="en-US" w:bidi="ar-SA"/>
              </w:rPr>
              <w:t>Die eingereichten Bewerbungsunterlagen und Motivationsschreiben werden auf ihre Vollständigkeit und Eignung geprüft, nachdem fachliche Kurzinterviews online stattfinden: Qualifizierte Bewerberinnen werden zu einem kurzen, fachlichen Online-Interview eingeladen, um ihre Motivation und Passung zum Programm zu überprüfen. Die finale Entscheidung wird schließlich gemeinsam durch Vertreterinnen des Departments Elektrotechnik und Informatik (ETI), des ZESS und des IOs in einer Kommission getroffen.</w:t>
            </w:r>
          </w:p>
          <w:p>
            <w:pPr>
              <w:pStyle w:val="Normal"/>
              <w:widowControl/>
              <w:spacing w:lineRule="auto" w:line="259" w:before="0" w:after="120"/>
              <w:jc w:val="both"/>
              <w:rPr>
                <w:sz w:val="20"/>
              </w:rPr>
            </w:pPr>
            <w:r>
              <w:rPr>
                <w:rFonts w:eastAsia="Source Sans Pro" w:cs="Arial"/>
                <w:kern w:val="0"/>
                <w:sz w:val="20"/>
                <w:szCs w:val="22"/>
                <w:lang w:val="de-DE" w:eastAsia="en-US" w:bidi="ar-SA"/>
              </w:rPr>
              <w:t>Aufbauend auf der Auswahl für die Summer School werden gezielte Informations- und Beratungsangebote zu Karriereperspektiven in Deutschland integriert, die den Übergang vom Masterstudium in eine Promotion, eine industrielle Tätigkeit oder eine forschungsnahe Beschäftigung adressieren. Ziel ist es, den ausgewählten Studierenden frühzeitig realistische, transparente und attraktive Perspektiven für einen langfristigen Verbleib im deutschen Wissenschafts- und Innovationssystem aufzuzeigen.</w:t>
            </w:r>
          </w:p>
          <w:p>
            <w:pPr>
              <w:pStyle w:val="Normal"/>
              <w:widowControl/>
              <w:spacing w:lineRule="auto" w:line="259" w:before="0" w:after="0"/>
              <w:jc w:val="both"/>
              <w:rPr>
                <w:b/>
                <w:bCs/>
                <w:sz w:val="20"/>
              </w:rPr>
            </w:pPr>
            <w:r>
              <w:rPr>
                <w:rFonts w:eastAsia="Source Sans Pro" w:cs="Arial"/>
                <w:b/>
                <w:bCs/>
                <w:kern w:val="0"/>
                <w:sz w:val="20"/>
                <w:szCs w:val="22"/>
                <w:lang w:val="de-DE" w:eastAsia="en-US" w:bidi="ar-SA"/>
              </w:rPr>
              <w:t>1.5. Zielgruppenorientierung</w:t>
            </w:r>
          </w:p>
          <w:p>
            <w:pPr>
              <w:pStyle w:val="Normal"/>
              <w:widowControl/>
              <w:spacing w:lineRule="auto" w:line="259" w:before="0" w:after="120"/>
              <w:jc w:val="both"/>
              <w:rPr>
                <w:sz w:val="20"/>
              </w:rPr>
            </w:pPr>
            <w:r>
              <w:rPr>
                <w:rFonts w:eastAsia="Source Sans Pro" w:cs="Arial"/>
                <w:kern w:val="0"/>
                <w:sz w:val="20"/>
                <w:szCs w:val="22"/>
                <w:lang w:val="de-DE" w:eastAsia="en-US" w:bidi="ar-SA"/>
              </w:rPr>
              <w:t>Primäre Zielgruppe sind internationale Bachelorstudierende im dritten Studienjahr (bei 4-jährigen Bachelorprogrammen) aus Elektrotechnik, Informatik, Mechatronik, oder verwandten MINT-Fächern mit starkem Interesse an einem forschungsorientierten Masterstudium in KI und Sensorsystemen/Mikroelektronik. Die Auswahl der Zielregionen und Partnerinstitutionen orientiert sich an deren ausgewiesener Exzellenz in den Bereichen Ingenieurwissenschaften, Informatik und anwendungsorientierte Forschung sowie an ihrer starken internationalen Ausrichtung.</w:t>
            </w:r>
          </w:p>
          <w:p>
            <w:pPr>
              <w:pStyle w:val="Normal"/>
              <w:widowControl/>
              <w:spacing w:lineRule="auto" w:line="259" w:before="0" w:after="120"/>
              <w:jc w:val="both"/>
              <w:rPr>
                <w:sz w:val="20"/>
              </w:rPr>
            </w:pPr>
            <w:r>
              <w:rPr>
                <w:rFonts w:eastAsia="Source Sans Pro" w:cs="Arial"/>
                <w:kern w:val="0"/>
                <w:sz w:val="20"/>
                <w:szCs w:val="22"/>
                <w:lang w:val="de-DE" w:eastAsia="en-US" w:bidi="ar-SA"/>
              </w:rPr>
              <w:t>Südasien, Südostasien und Subsahara-Afrika stellen für das Vorhaben geeignete Zielregionen dar, da sie über ein hohes Potenzial gut ausgebildeter Studierender in den Ingenieur- und Informatikwissenschaften verfügen und zugleich durch eine dynamische Entwicklung in den Bereichen Digitalisierung, KI und Elektronik geprägt sind. Die Hochschulsysteme dieser Regionen sind durch eine große Zahl leistungsstarker technischer Universitäten, hochkompetitive Auswahlverfahren und wachsende Forschungsaktivitäten gekennzeichnet, wodurch ein kontinuierlicher Pool qualifizierter Bachelorabsolventinnen und -absolventen entsteht. Gleichzeitig besteht insbesondere in Süd- und Südostasien ein ausgeprägtes Interesse an forschungsorientierten Masterstudiengängen im Ausland, vor allem an Programmen mit einer engen Verbindung von theoretischer Fundierung, praktischer Anwendung und industrieller Relevanz. Studierende aus diesen Regionen bringen in der Regel solide fachliche Grundlagen, hohe Lernmotivation und internationale Orientierung mit und verfügen damit über gute Voraussetzungen für eine erfolgreiche Integration in forschungs- und technologieintensive Masterprogramme in Deutschland. Des Weiteren verfügt die Universität Siegen über umfangreiche Erfahrung mit internationalen Fachstudierenden. Die drei wichtigsten Herkunftsnationen von internationalen Studierenden in Siegen sind Indien, Pakistan und China, daher stehen sie auch im Fokus von EXCELS. Vietnam, Thailand, Ghana und Kenia entwickeln sich sehr positiv. In China ist Siegen an einem NRW-Konsortialbüro beteiligt, so das Marketing und Recruitment trotz der Herausforderung der Great Firewall lokal unterstützt werden können. In Ghana gibt es ebenfalls eine NRW-Allianz.</w:t>
            </w:r>
          </w:p>
          <w:p>
            <w:pPr>
              <w:pStyle w:val="Normal"/>
              <w:widowControl/>
              <w:spacing w:lineRule="auto" w:line="259" w:before="0" w:after="120"/>
              <w:jc w:val="both"/>
              <w:rPr>
                <w:sz w:val="20"/>
              </w:rPr>
            </w:pPr>
            <w:r>
              <w:rPr>
                <w:rFonts w:eastAsia="Source Sans Pro" w:cs="Arial"/>
                <w:kern w:val="0"/>
                <w:sz w:val="20"/>
                <w:szCs w:val="22"/>
                <w:lang w:val="de-DE" w:eastAsia="en-US" w:bidi="ar-SA"/>
              </w:rPr>
              <w:t>In Indien zählen die Indian Institutes of Technology (IITs) und National Institutes of Technology (NITs) zu den international anerkannten technischen Hochschulen mit hoher Selektivität und starker Ausbildung in den Bereichen Elektrotechnik und Informatik. Für EXCELS besonders relevant sind das IIT Hyderabad, das IIT Delhi und das IIT Bhilai, mit denen bereits bestehende akademische Kontakte und Kooperationsansätze bestehen. In Südostasien sind das Asian Institute of Technology (AIT) in Thailand sowie die King Mongkut’s University of Technology international etablierte Einrichtungen mit einem klaren Fokus auf angewandte Technologien, Digitalisierung und industrielle Kooperationen. Beide Hochschulen bieten ein gutes Umfeld für die Ansprache leistungsstarker, forschungsinteressierter Studierender. Ergänzend dazu verfügen die Vietnam National Universities in Hanoi und Ho-Chi-Minh-Stadt über wachsende Kompetenzen in den Ingenieur- und Informatikwissenschaften, insbesondere in Bereichen mit Anschlussfähigkeit an KI und Sensorsysteme, und stellen damit potenzielle Partner für die Gewinnung forschungsorientierter Talente dar. In Subsahara-Afrika konzentriert sich das Vorhaben auf sorgfältig abgestimmte Kontakte zu ausgewählten Hochschulen. In Kenia bestehen seit 10 Jahren Kontakte zur Dedan Kimathi University of Technology, mit dem Schwerpunkt in Embedded Systems. Darüber hinaus bestehen erste akademische Kontakte zur University of Nairobi, einer breit aufgestellten Universität mit relevanten Studienangeboten in den Ingenieur- und Informatikwissenschaften. Mit der University of Ghana besteht seit drei Jahren eine sogenannte fokussierte Partnerschaft. Zudem wird das Ghana-NRW-Allianzbüro zukünftig dort angesiedelt sein.</w:t>
            </w:r>
          </w:p>
          <w:p>
            <w:pPr>
              <w:pStyle w:val="Normal"/>
              <w:widowControl/>
              <w:spacing w:lineRule="auto" w:line="259" w:before="0" w:after="0"/>
              <w:jc w:val="both"/>
              <w:rPr>
                <w:sz w:val="20"/>
              </w:rPr>
            </w:pPr>
            <w:r>
              <w:rPr>
                <w:rFonts w:eastAsia="Source Sans Pro" w:cs="Arial"/>
                <w:kern w:val="0"/>
                <w:sz w:val="20"/>
                <w:szCs w:val="22"/>
                <w:lang w:val="de-DE" w:eastAsia="en-US" w:bidi="ar-SA"/>
              </w:rPr>
              <w:t>Für die im Projekt vorgesehenen Summer Schools werden pro Partnerhochschule maximal ein bis zwei besonders qualifizierte und motivierte Studierende ausgewählt. Dieser bewusst selektive Ansatz vermeidet den Eindruck gezielter Abwerbung und stellt sicher, dass bestehende akademische Partnerschaften nicht belastet werden. Die Rekrutierung erfolgt in enger Abstimmung mit den Partnerinstitutionen und folgt dem Prinzip der „brain circulation“: Während die Studierenden Zugang zu einem forschungsorientierten Masterstudium in einem international sichtbaren Hightech-Umfeld erhalten, profitieren die Partnerhochschulen von verstärkter Vernetzung, Wissenstransfer und einer Stärkung ihrer akademischen Profile. Der Fokus auf Studierende im letzten Bachelorjahr reduziert potenzielle Zielkonflikte zusätzlich, da diese Zielgruppe aktiv nach weiterführenden Qualifizierungsoptionen im Ausland sucht.</w:t>
            </w:r>
          </w:p>
          <w:p>
            <w:pPr>
              <w:pStyle w:val="Normal"/>
              <w:widowControl/>
              <w:spacing w:lineRule="auto" w:line="259" w:before="0" w:after="0"/>
              <w:jc w:val="both"/>
              <w:rPr>
                <w:sz w:val="20"/>
              </w:rPr>
            </w:pPr>
            <w:r>
              <w:rPr>
                <w:rFonts w:eastAsia="Source Sans Pro" w:cs="Arial"/>
                <w:kern w:val="0"/>
                <w:sz w:val="20"/>
                <w:szCs w:val="22"/>
                <w:lang w:val="de-DE" w:eastAsia="en-US" w:bidi="ar-SA"/>
              </w:rPr>
            </w:r>
          </w:p>
          <w:p>
            <w:pPr>
              <w:pStyle w:val="Normal"/>
              <w:widowControl/>
              <w:spacing w:lineRule="auto" w:line="259" w:before="0" w:after="0"/>
              <w:jc w:val="both"/>
              <w:rPr>
                <w:b/>
                <w:bCs/>
                <w:sz w:val="20"/>
              </w:rPr>
            </w:pPr>
            <w:r>
              <w:rPr>
                <w:rFonts w:eastAsia="Source Sans Pro" w:cs="Arial"/>
                <w:b/>
                <w:bCs/>
                <w:kern w:val="0"/>
                <w:sz w:val="20"/>
                <w:szCs w:val="22"/>
                <w:lang w:val="de-DE" w:eastAsia="en-US" w:bidi="ar-SA"/>
              </w:rPr>
              <w:t>1.6. Abgrenzung von geplanten Maßnahmen</w:t>
            </w:r>
          </w:p>
          <w:p>
            <w:pPr>
              <w:pStyle w:val="Normal"/>
              <w:widowControl/>
              <w:spacing w:lineRule="auto" w:line="259" w:before="0" w:after="120"/>
              <w:jc w:val="both"/>
              <w:rPr>
                <w:sz w:val="20"/>
              </w:rPr>
            </w:pPr>
            <w:r>
              <w:rPr>
                <w:rFonts w:eastAsia="Source Sans Pro" w:cs="Arial"/>
                <w:kern w:val="0"/>
                <w:sz w:val="20"/>
                <w:szCs w:val="22"/>
                <w:lang w:val="de-DE" w:eastAsia="en-US" w:bidi="ar-SA"/>
              </w:rPr>
              <w:t xml:space="preserve">Das Projekt ist klar von allgemeinen Willkommens- und Integrationsangeboten der Universität Siegen sowie dem Projekt </w:t>
            </w:r>
            <w:hyperlink r:id="rId11">
              <w:r>
                <w:rPr>
                  <w:rStyle w:val="Hyperlink"/>
                  <w:rFonts w:eastAsia="Source Sans Pro" w:cs="Arial"/>
                  <w:kern w:val="0"/>
                  <w:sz w:val="20"/>
                  <w:szCs w:val="22"/>
                  <w:lang w:val="de-DE" w:eastAsia="en-US" w:bidi="ar-SA"/>
                </w:rPr>
                <w:t>Forging International Talents - FIT in Siegen</w:t>
              </w:r>
            </w:hyperlink>
            <w:r>
              <w:rPr>
                <w:rFonts w:eastAsia="Source Sans Pro" w:cs="Arial"/>
                <w:kern w:val="0"/>
                <w:szCs w:val="22"/>
                <w:lang w:val="de-DE" w:eastAsia="en-US" w:bidi="ar-SA"/>
              </w:rPr>
              <w:t xml:space="preserve"> </w:t>
            </w:r>
            <w:r>
              <w:rPr>
                <w:rFonts w:eastAsia="Source Sans Pro" w:cs="Arial"/>
                <w:kern w:val="0"/>
                <w:sz w:val="20"/>
                <w:szCs w:val="20"/>
                <w:lang w:val="de-DE" w:eastAsia="en-US" w:bidi="ar-SA"/>
              </w:rPr>
              <w:t xml:space="preserve">abgegrenzt. </w:t>
            </w:r>
            <w:r>
              <w:rPr>
                <w:rFonts w:eastAsia="Source Sans Pro" w:cs="Arial"/>
                <w:kern w:val="0"/>
                <w:sz w:val="20"/>
                <w:szCs w:val="22"/>
                <w:lang w:val="de-DE" w:eastAsia="en-US" w:bidi="ar-SA"/>
              </w:rPr>
              <w:t>Es handelt sich um ein hochselektives, fachlich fokussiertes Förderinstrument, das bereits vor der formalen Bewerbung für ein Masterstudium ansetzt und sich ausschließlich an Studierende mit herausragender fachlicher Eignung in den Bereichen KI und Sensorsysteme richtet: Diese internationalen Studierenden benötigen eine engagiertere und fachspezialisiertere Betreuung und können nach Einschreibung in den Master an den klassischen Betreuungsangeboten in Siegen teilnehmen.</w:t>
            </w:r>
          </w:p>
          <w:p>
            <w:pPr>
              <w:pStyle w:val="Normal"/>
              <w:widowControl/>
              <w:spacing w:lineRule="auto" w:line="259" w:before="0" w:after="120"/>
              <w:jc w:val="both"/>
              <w:rPr>
                <w:sz w:val="20"/>
              </w:rPr>
            </w:pPr>
            <w:r>
              <w:rPr>
                <w:rFonts w:eastAsia="Source Sans Pro" w:cs="Arial"/>
                <w:kern w:val="0"/>
                <w:sz w:val="20"/>
                <w:szCs w:val="22"/>
                <w:lang w:val="de-DE" w:eastAsia="en-US" w:bidi="ar-SA"/>
              </w:rPr>
              <w:t>Aus der DAAD-Zuwendung finanziert werden insbesondere die projektbezogenen, neu entwickelten Maßnahmen, darunter das internationale Vor-Ort-Recruitment über Bildungs- und Recruiting-Messen und Reisen an ausgewählten Partnerhochschulen, die Digital Prep-Angebote (thematische Module, Austauschformate und Beratung), die Konzeption und Durchführung der forschungsnahen Summer School in Siegen sowie die strukturierte Post-Recruitment-Begleitung ausgewählter Studierender von der Bewerbung bis zur Einschreibung ins Masterstudium. Diese Maßnahmen sind speziell auf die Zielgruppe exzellenter internationaler Bachelorstudierender zugeschnitten und gehen in Umfang, Intensität und fachlicher Tiefe deutlich über bestehende Angebote hinaus. Die Angebote des HYT stehen auch Masterstudierenden zur Verfügung, die sich frühzeitig über Promotionsmöglichkeiten und das deutsche Wissenschaftssystem informieren wollen.</w:t>
            </w:r>
          </w:p>
          <w:p>
            <w:pPr>
              <w:pStyle w:val="Normal"/>
              <w:widowControl/>
              <w:spacing w:lineRule="auto" w:line="259" w:before="0" w:after="120"/>
              <w:jc w:val="both"/>
              <w:rPr>
                <w:sz w:val="20"/>
              </w:rPr>
            </w:pPr>
            <w:r>
              <w:rPr>
                <w:rFonts w:eastAsia="Source Sans Pro" w:cs="Arial"/>
                <w:kern w:val="0"/>
                <w:sz w:val="20"/>
                <w:szCs w:val="22"/>
                <w:lang w:val="de-DE" w:eastAsia="en-US" w:bidi="ar-SA"/>
              </w:rPr>
              <w:t xml:space="preserve">Bereits bestehende hochschulweite Maßnahmen, insbesondere allgemeine Willkommens-, Orientierungs- und Integrationsangebote des IOs (z.B. Orientation zu Semesterbeginn, Buddy Programm und FIT-Formate), werden ergänzend in die Projektdurchführung einbezogen, sind jedoch bereits finanziert. Sie dienen der breiten Grundorientierung nach der Einschreibung und werden durch die projektfinanzierten, fachlich spezialisierten Maßnahmen gezielt ergänzt, ohne Doppelstrukturen zu erzeugen. Auf diese Weise wird eine klare funktionale Trennung zwischen projektbezogener Talentgewinnung und bestehenden universitären Serviceangeboten sichergestellt. Das Projekt enthält bewusst keine Elemente aus dem Baustein Career, da die Angebote des Career Services grundständig von der Universität sowie die Career Compentence Awareness Workshops (C2AW) aus FIT finanziert werden. </w:t>
            </w:r>
          </w:p>
          <w:p>
            <w:pPr>
              <w:pStyle w:val="Normal"/>
              <w:widowControl/>
              <w:spacing w:lineRule="auto" w:line="259" w:before="0" w:after="0"/>
              <w:jc w:val="both"/>
              <w:rPr>
                <w:b/>
                <w:bCs/>
                <w:sz w:val="20"/>
              </w:rPr>
            </w:pPr>
            <w:r>
              <w:rPr>
                <w:rFonts w:eastAsia="Source Sans Pro" w:cs="Arial"/>
                <w:b/>
                <w:bCs/>
                <w:kern w:val="0"/>
                <w:sz w:val="20"/>
                <w:szCs w:val="22"/>
                <w:lang w:val="de-DE" w:eastAsia="en-US" w:bidi="ar-SA"/>
              </w:rPr>
              <w:t>1.7. Internationale Studierende / Promovierende</w:t>
            </w:r>
          </w:p>
          <w:p>
            <w:pPr>
              <w:pStyle w:val="Normal"/>
              <w:widowControl/>
              <w:spacing w:lineRule="auto" w:line="259" w:before="0" w:after="120"/>
              <w:jc w:val="both"/>
              <w:rPr>
                <w:color w:themeColor="text1" w:val="000000"/>
                <w:sz w:val="20"/>
              </w:rPr>
            </w:pPr>
            <w:r>
              <w:rPr>
                <w:rFonts w:eastAsia="Source Sans Pro" w:cs="Arial"/>
                <w:color w:themeColor="text1" w:val="000000"/>
                <w:kern w:val="0"/>
                <w:sz w:val="20"/>
                <w:szCs w:val="22"/>
                <w:lang w:val="de-DE" w:eastAsia="en-US" w:bidi="ar-SA"/>
              </w:rPr>
              <w:t>Im WiSe 2025/26 sind an der Universität Siegen insgesamt 1.852 internationale (Fach-)Studierende eingeschrieben, darunter über 1.000 Studierende aus Südasien, Südostasien und Subsahara-Afrika. Diese Zahlen verdeutlichen zum einen die bestehende internationale Attraktivität der Universität, zum anderen das besondere Potenzial dieser Regionen mit jungen Bevölkerungen und großem Bildungsdurst für eine gezielte, qualitativ hochwertige Weiterentwicklung der Rekrutierung von internationalen Fachstudierenden. Vor diesem Hintergrund ist das beantragte Projekt strategisch darauf ausgerichtet, die internationale Studierendenschaft nicht primär quantitativ, sondern gezielt qualitativ zu stärken. Durch das Projekt sollen bis zu 45 exzellente internationale Masterstudierende für die forschungsorientierten Studiengänge in den Bereichen KI und Sensorsysteme angesprochen werden. Dies entspricht einem Zuwachs von etwa 10% innerhalb der besonders leistungsstarken Zielgruppe internationaler Masterstudierender und stellt damit einen signifikanten Beitrag zur Profilbildung der Universität Siegen dar. Der Mehrwert liegt dabei nicht allein in der Steigerung der Studierendenzahlen, sondern vor allem in der gezielten Gewinnung hervorragend qualifizierter Studierender, die frühzeitig in Forschung, Lehre und Transfer eingebunden werden und so nachhaltig zur akademischen Leistungsfähigkeit und internationalen Sichtbarkeit der Universität beitragen.</w:t>
            </w:r>
          </w:p>
          <w:p>
            <w:pPr>
              <w:pStyle w:val="Normal"/>
              <w:widowControl/>
              <w:spacing w:lineRule="auto" w:line="259" w:before="0" w:after="0"/>
              <w:jc w:val="both"/>
              <w:rPr>
                <w:b/>
                <w:bCs/>
                <w:sz w:val="20"/>
              </w:rPr>
            </w:pPr>
            <w:r>
              <w:rPr>
                <w:rFonts w:eastAsia="Source Sans Pro" w:cs="Arial"/>
                <w:b/>
                <w:bCs/>
                <w:kern w:val="0"/>
                <w:sz w:val="20"/>
                <w:szCs w:val="22"/>
                <w:lang w:val="de-DE" w:eastAsia="en-US" w:bidi="ar-SA"/>
              </w:rPr>
              <w:t>1.8. Projektziele (Outcomes)</w:t>
            </w:r>
          </w:p>
          <w:p>
            <w:pPr>
              <w:pStyle w:val="Normal"/>
              <w:widowControl/>
              <w:spacing w:lineRule="auto" w:line="259" w:before="0" w:after="120"/>
              <w:jc w:val="both"/>
              <w:rPr>
                <w:sz w:val="20"/>
              </w:rPr>
            </w:pPr>
            <w:r>
              <w:rPr>
                <w:rFonts w:eastAsia="Source Sans Pro" w:cs="Arial"/>
                <w:kern w:val="0"/>
                <w:sz w:val="20"/>
                <w:szCs w:val="22"/>
                <w:lang w:val="de-DE" w:eastAsia="en-US" w:bidi="ar-SA"/>
              </w:rPr>
              <w:t>Im Rahmen der Förderung sollen folgende fünf Projektziele erreicht werden:</w:t>
            </w:r>
          </w:p>
          <w:p>
            <w:pPr>
              <w:pStyle w:val="Normal"/>
              <w:widowControl/>
              <w:spacing w:lineRule="auto" w:line="259" w:before="0" w:after="0"/>
              <w:jc w:val="both"/>
              <w:rPr>
                <w:b/>
                <w:bCs/>
                <w:sz w:val="20"/>
              </w:rPr>
            </w:pPr>
            <w:r>
              <w:rPr>
                <w:rFonts w:eastAsia="Source Sans Pro" w:cs="Arial"/>
                <w:b/>
                <w:bCs/>
                <w:kern w:val="0"/>
                <w:sz w:val="20"/>
                <w:szCs w:val="22"/>
                <w:lang w:val="de-DE" w:eastAsia="en-US" w:bidi="ar-SA"/>
              </w:rPr>
              <w:t>Outcome 1: Systematische internationale Ansprache geeigneter Zielgruppen</w:t>
            </w:r>
          </w:p>
          <w:p>
            <w:pPr>
              <w:pStyle w:val="Normal"/>
              <w:widowControl/>
              <w:spacing w:lineRule="auto" w:line="259" w:before="0" w:after="120"/>
              <w:jc w:val="both"/>
              <w:rPr>
                <w:sz w:val="20"/>
              </w:rPr>
            </w:pPr>
            <w:r>
              <w:rPr>
                <w:rFonts w:eastAsia="Source Sans Pro" w:cs="Arial"/>
                <w:kern w:val="0"/>
                <w:sz w:val="20"/>
                <w:szCs w:val="22"/>
                <w:lang w:val="de-DE" w:eastAsia="en-US" w:bidi="ar-SA"/>
              </w:rPr>
              <w:t>Durch jährlich mindestens vier gezielte Recruiting-Reisen nach Süd- und Südostasien sowie Subsahara-Afrika wird eine nachhaltige und qualitätsgesicherte Ansprache leistungsstarker Bachelorstudierender im (vor)letzten Studienjahr erreicht. Die fachlich begleitete Präsenz von Vertreterinnen und Vertretern aus ETI, ZESS und I O ermöglicht eine passungsgenaue Identifikation geeigneter Kandidatinnen und Kandidaten für die forschungsorientierten Masterstudiengänge der Universität Siegen. Infolge der direkten fachlichen Gespräche und institutionellen Kontakte wird die Sichtbarkeit und Attraktivität des Studien- und Forschungsstandorts Siegen in den Zielregionen nachhaltig gestärkt.</w:t>
            </w:r>
          </w:p>
          <w:p>
            <w:pPr>
              <w:pStyle w:val="Normal"/>
              <w:widowControl/>
              <w:spacing w:lineRule="auto" w:line="259" w:before="0" w:after="0"/>
              <w:jc w:val="both"/>
              <w:rPr>
                <w:b/>
                <w:bCs/>
                <w:sz w:val="20"/>
              </w:rPr>
            </w:pPr>
            <w:r>
              <w:rPr>
                <w:rFonts w:eastAsia="Source Sans Pro" w:cs="Arial"/>
                <w:b/>
                <w:bCs/>
                <w:kern w:val="0"/>
                <w:sz w:val="20"/>
                <w:szCs w:val="22"/>
                <w:lang w:val="de-DE" w:eastAsia="en-US" w:bidi="ar-SA"/>
              </w:rPr>
              <w:t>Outcome 2: Erfolgreiche fachliche Vorbereitung durch Digital Prep</w:t>
            </w:r>
          </w:p>
          <w:p>
            <w:pPr>
              <w:pStyle w:val="Normal"/>
              <w:widowControl/>
              <w:spacing w:lineRule="auto" w:line="259" w:before="0" w:after="120"/>
              <w:jc w:val="both"/>
              <w:rPr>
                <w:sz w:val="20"/>
              </w:rPr>
            </w:pPr>
            <w:r>
              <w:rPr>
                <w:rFonts w:eastAsia="Source Sans Pro" w:cs="Arial"/>
                <w:kern w:val="0"/>
                <w:sz w:val="20"/>
                <w:szCs w:val="22"/>
                <w:lang w:val="de-DE" w:eastAsia="en-US" w:bidi="ar-SA"/>
              </w:rPr>
              <w:t>Über die Laufzeit des Projekts erreicht das strukturierte Digital Prep-basierte Onboarding mindestens 150 interessierte Studierende. Pro Jahr werden maximal 50 Studierende für eine vertiefte Teilnahme ausgewählt und in das Programm aufgenommen. Mindestens 80% der Teilnehmenden schließen die fachlichen Online-Module zu KI und Sensorsystemen erfolgreich ab. Bei mindestens 75% der Teilnehmenden ist ein messbarer fachlicher Kompetenzzuwachs nachweisbar, der anhand von Vor-/Nach-Evaluationen erfasst wird, die zu Beginn und Ende der Format-Reihe durchgeführt werden.</w:t>
            </w:r>
          </w:p>
          <w:p>
            <w:pPr>
              <w:pStyle w:val="Normal"/>
              <w:widowControl/>
              <w:spacing w:lineRule="auto" w:line="259" w:before="0" w:after="0"/>
              <w:jc w:val="both"/>
              <w:rPr>
                <w:b/>
                <w:bCs/>
                <w:sz w:val="20"/>
              </w:rPr>
            </w:pPr>
            <w:r>
              <w:rPr>
                <w:rFonts w:eastAsia="Source Sans Pro" w:cs="Arial"/>
                <w:b/>
                <w:bCs/>
                <w:kern w:val="0"/>
                <w:sz w:val="20"/>
                <w:szCs w:val="22"/>
                <w:lang w:val="de-DE" w:eastAsia="en-US" w:bidi="ar-SA"/>
              </w:rPr>
              <w:t>Outcome 3: Kontinuierlicher Übergang von Digital Prep zur Summer School</w:t>
            </w:r>
          </w:p>
          <w:p>
            <w:pPr>
              <w:pStyle w:val="Normal"/>
              <w:widowControl/>
              <w:spacing w:lineRule="auto" w:line="259" w:before="0" w:after="120"/>
              <w:jc w:val="both"/>
              <w:rPr>
                <w:sz w:val="20"/>
              </w:rPr>
            </w:pPr>
            <w:r>
              <w:rPr>
                <w:rFonts w:eastAsia="Source Sans Pro" w:cs="Arial"/>
                <w:kern w:val="0"/>
                <w:sz w:val="20"/>
                <w:szCs w:val="22"/>
                <w:lang w:val="de-DE" w:eastAsia="en-US" w:bidi="ar-SA"/>
              </w:rPr>
              <w:t>Ein Großteil der für die Summer School eingeladenen Studierenden stammt aus dem Kreis der Teilnehmenden von Digital Prep. Mindestens 80 % der eingeladenen Studierenden nehmen tatsächlich an der Summer School in Siegen teil. Dadurch wird ein konsistenter Übergang von der digitalen Vorbereitung zur Präsenzphase geschaffen, der die Motivation der Teilnehmenden stärkt und eine vertiefte fachliche und soziale Einbindung ermöglicht.</w:t>
            </w:r>
          </w:p>
          <w:p>
            <w:pPr>
              <w:pStyle w:val="Normal"/>
              <w:widowControl/>
              <w:spacing w:lineRule="auto" w:line="259" w:before="0" w:after="0"/>
              <w:jc w:val="both"/>
              <w:rPr>
                <w:b/>
                <w:bCs/>
                <w:sz w:val="20"/>
              </w:rPr>
            </w:pPr>
            <w:r>
              <w:rPr>
                <w:rFonts w:eastAsia="Source Sans Pro" w:cs="Arial"/>
                <w:b/>
                <w:bCs/>
                <w:kern w:val="0"/>
                <w:sz w:val="20"/>
                <w:szCs w:val="22"/>
                <w:lang w:val="de-DE" w:eastAsia="en-US" w:bidi="ar-SA"/>
              </w:rPr>
              <w:t>Outcome 4: Frühzeitige akademische und soziale Integration in den Hochschul- und Forschungskontext</w:t>
            </w:r>
          </w:p>
          <w:p>
            <w:pPr>
              <w:pStyle w:val="Normal"/>
              <w:widowControl/>
              <w:spacing w:lineRule="auto" w:line="259" w:before="0" w:after="120"/>
              <w:jc w:val="both"/>
              <w:rPr>
                <w:sz w:val="20"/>
              </w:rPr>
            </w:pPr>
            <w:r>
              <w:rPr>
                <w:rFonts w:eastAsia="Source Sans Pro" w:cs="Arial"/>
                <w:kern w:val="0"/>
                <w:sz w:val="20"/>
                <w:szCs w:val="22"/>
                <w:lang w:val="de-DE" w:eastAsia="en-US" w:bidi="ar-SA"/>
              </w:rPr>
              <w:t xml:space="preserve">Im Rahmen der forschungsnahen Summer School werden die Teilnehmenden schrittweise fachlich, sozial und institutionell in die Universität Siegen eingebunden. Durch strukturierte Austauschformate, persönliche Mentoring-Elemente und die enge Anbindung an Forschungsaktivitäten entstehen frühzeitig Kontakte zu Lehrenden, Forschenden und Peers. Alle Teilnehmenden nehmen an organisierten Austausch- und Vernetzungsformaten teil und kommen mit mindestens einer Forschungsgruppe oder einem thematischen Schwerpunkt des ZESS in Kontakt. </w:t>
            </w:r>
          </w:p>
          <w:p>
            <w:pPr>
              <w:pStyle w:val="Normal"/>
              <w:widowControl/>
              <w:spacing w:lineRule="auto" w:line="259" w:before="0" w:after="0"/>
              <w:jc w:val="both"/>
              <w:rPr>
                <w:b/>
                <w:bCs/>
                <w:sz w:val="20"/>
              </w:rPr>
            </w:pPr>
            <w:r>
              <w:rPr>
                <w:rFonts w:eastAsia="Source Sans Pro" w:cs="Arial"/>
                <w:b/>
                <w:bCs/>
                <w:kern w:val="0"/>
                <w:sz w:val="20"/>
                <w:szCs w:val="22"/>
                <w:lang w:val="de-DE" w:eastAsia="en-US" w:bidi="ar-SA"/>
              </w:rPr>
              <w:t>Outcome 5: Qualitativer und quantitativer Zuwachs exzellenter internationaler Masterstudierender</w:t>
            </w:r>
          </w:p>
          <w:p>
            <w:pPr>
              <w:pStyle w:val="Normal"/>
              <w:widowControl/>
              <w:spacing w:lineRule="auto" w:line="259" w:before="0" w:after="120"/>
              <w:jc w:val="both"/>
              <w:rPr>
                <w:sz w:val="20"/>
              </w:rPr>
            </w:pPr>
            <w:r>
              <w:rPr>
                <w:rFonts w:eastAsia="Source Sans Pro" w:cs="Arial"/>
                <w:kern w:val="0"/>
                <w:sz w:val="20"/>
                <w:szCs w:val="22"/>
                <w:lang w:val="de-DE" w:eastAsia="en-US" w:bidi="ar-SA"/>
              </w:rPr>
              <w:t>Durch die aufeinander abgestimmten Recruiting-, Onboarding- und Integrationsmaßnahmen gelingt es, den Anteil exzellenter internationaler Masterstudierender an der Universität Siegen gezielt zu erhöhen. Im Durchschnitt nehmen in den Jahren 2027, 2028 und 2029 jährlich mindestens fünf ehemalige Teilnehmende aus Digital Prep und der Summer School ein Masterstudium in Siegen auf. Diese Studierenden verfügen über eine hohe fachliche Passung, frühzeitige Forschungserfahrung und eine enge Anbindung an den Standort, wodurch sie zugleich ein wichtiges Rekrutierungspotenzial für weiterführende wissenschaftliche Qualifizierungen und forschungs- bzw. industrienahe Karrierewege in Deutschland darstellen.</w:t>
            </w:r>
          </w:p>
          <w:p>
            <w:pPr>
              <w:pStyle w:val="Normal"/>
              <w:widowControl/>
              <w:spacing w:lineRule="auto" w:line="259" w:before="0" w:after="0"/>
              <w:jc w:val="start"/>
              <w:rPr>
                <w:b/>
                <w:bCs/>
                <w:sz w:val="20"/>
              </w:rPr>
            </w:pPr>
            <w:r>
              <w:rPr>
                <w:rFonts w:eastAsia="Source Sans Pro" w:cs="Arial"/>
                <w:b/>
                <w:bCs/>
                <w:kern w:val="0"/>
                <w:sz w:val="20"/>
                <w:szCs w:val="22"/>
                <w:lang w:val="de-DE" w:eastAsia="en-US" w:bidi="ar-SA"/>
              </w:rPr>
              <w:t>1.9. Bezug des Projekts zu den Programmzielen</w:t>
            </w:r>
          </w:p>
          <w:p>
            <w:pPr>
              <w:pStyle w:val="Normal"/>
              <w:widowControl/>
              <w:spacing w:lineRule="auto" w:line="259" w:before="0" w:after="120"/>
              <w:jc w:val="both"/>
              <w:rPr>
                <w:sz w:val="20"/>
              </w:rPr>
            </w:pPr>
            <w:r>
              <w:rPr>
                <w:rFonts w:eastAsia="Source Sans Pro" w:cs="Arial"/>
                <w:kern w:val="0"/>
                <w:sz w:val="20"/>
                <w:szCs w:val="22"/>
                <w:lang w:val="de-DE" w:eastAsia="en-US" w:bidi="ar-SA"/>
              </w:rPr>
              <w:t>Im Sinne des Programms setzt das Projekt frühzeitig im internationalen Talentkreislauf an: Internationale Bachelorstudierende im (vor)letzten Studienjahr werden über strukturierte Digital-Prep-Maßnahmen gezielt auf ein forschungsorientiertes Masterstudium in Deutschland vorbereitet. Damit geht das Vorhaben über klassische Rekrutierungsansätze hinaus und folgt dem programmatischen Ziel, Talentgewinnung, akademische Integration und langfristige Perspektiven systematisch miteinander zu verknüpfen. Der Fokus auf die eng verzahnten Schlüsselbereiche KI, Sensorsysteme und Mikroelektronik entspricht unmittelbar den prioritären Themen der Hightech Agenda Deutschland und leistet einen Beitrag zur Stärkung der technologischen Souveränität und Innovationsfähigkeit Deutschlands. Ein zentraler Beitrag zu den Programmzielen liegt in der qualitätsorientierten Gestaltung der Übergangsphase zwischen Bachelor- und Masterstudium. Durch die Digital-Prep Angebote, die forschungsnahe Summer School sowie die enge Einbindung in die Forschungsstrukturen des Departments ETI und des ZESS sowie die Beratung im IO werden fachliche Anschlussfähigkeit, Orientierungssicherheit und soziale Integration frühzeitig gefördert. Darüber hinaus stärkt das Projekt die institutionelle Handlungsfähigkeit der Universität Siegen im internationalen Wettbewerb um akademische Talente. Durch die enge Zusammenarbeit von ETI/ZESS und I O entstehen tragfähige Kooperationsstrukturen und skalierbare Formate, die über den Förderzeitraum hinaus wirken. Das Vorhaben leistet damit einen Beitrag zur Entwicklung nachhaltiger und übertragbarer Ansätze der Talentgewinnung und -integration an deutschen Hochschulen.</w:t>
            </w:r>
          </w:p>
          <w:p>
            <w:pPr>
              <w:pStyle w:val="Normal"/>
              <w:widowControl/>
              <w:spacing w:lineRule="auto" w:line="259" w:before="0" w:after="0"/>
              <w:jc w:val="start"/>
              <w:rPr>
                <w:b/>
                <w:bCs/>
                <w:sz w:val="20"/>
              </w:rPr>
            </w:pPr>
            <w:r>
              <w:rPr>
                <w:rFonts w:eastAsia="Source Sans Pro" w:cs="Arial"/>
                <w:b/>
                <w:bCs/>
                <w:kern w:val="0"/>
                <w:sz w:val="20"/>
                <w:szCs w:val="22"/>
                <w:lang w:val="de-DE" w:eastAsia="en-US" w:bidi="ar-SA"/>
              </w:rPr>
              <w:t>1.10. Potenziale und mögliche Risiken sowie den Umgang damit</w:t>
            </w:r>
          </w:p>
          <w:p>
            <w:pPr>
              <w:pStyle w:val="Normal"/>
              <w:widowControl/>
              <w:spacing w:lineRule="auto" w:line="259" w:before="0" w:after="120"/>
              <w:jc w:val="both"/>
              <w:rPr>
                <w:sz w:val="20"/>
              </w:rPr>
            </w:pPr>
            <w:r>
              <w:rPr>
                <w:rFonts w:eastAsia="Source Sans Pro" w:cs="Arial"/>
                <w:kern w:val="0"/>
                <w:sz w:val="20"/>
                <w:szCs w:val="22"/>
                <w:lang w:val="de-DE" w:eastAsia="en-US" w:bidi="ar-SA"/>
              </w:rPr>
              <w:t>Ein zentrales Potenzial des Projekts liegt in der spezifischen Profilierung der Universität Siegen als hochwertiger, forschungsnaher Studienstandort mit exzellentem Betreuungsverhältnis. Als mittelgroße Universität bietet Siegen Strukturen, die insbesondere für internationale Studierende in forschungsintensiven Masterprogrammen von besonderem Wert sind: kurze Wege, eine enge persönliche Anbindung an Lehrende und Forschende sowie eine frühe Integration in Arbeitsgruppen und Forschungsprojekte. Gerade in den komplexen und dynamischen Hightech-Feldern KI und Sensorsysteme stellt diese intensive Betreuung einen entscheidenden Erfolgsfaktor für Studienerfolg, Motivation und Bindung dar. Dieses Projekt nutzt dieses Profil gezielt, indem es die Stärken der Universität Siegen für die Zielgruppe nutzbar macht. Durch das strukturierte Onboarding vor Studienbeginn wird die Universität als persönlich erfahrbarer Forschungs- und Lernraum präsentiert. Es entsteht durch die gezielte Ansprache exzellenter Studierender ein nachhaltiger Talentpool, der die Masterprogramme und die Nachwuchsgewinnung stärkt.</w:t>
            </w:r>
          </w:p>
          <w:p>
            <w:pPr>
              <w:pStyle w:val="Normal"/>
              <w:widowControl/>
              <w:spacing w:lineRule="auto" w:line="259" w:before="0" w:after="120"/>
              <w:jc w:val="both"/>
              <w:rPr>
                <w:sz w:val="20"/>
              </w:rPr>
            </w:pPr>
            <w:r>
              <w:rPr>
                <w:rFonts w:eastAsia="Source Sans Pro" w:cs="Arial"/>
                <w:kern w:val="0"/>
                <w:sz w:val="20"/>
                <w:szCs w:val="22"/>
                <w:lang w:val="de-DE" w:eastAsia="en-US" w:bidi="ar-SA"/>
              </w:rPr>
              <w:t>Ein mögliches Risiko besteht in der geringeren internationalen Bekanntheit der Universität Siegen im Vergleich zu großen, etablierten Exzellenzuniversitäten in Metropolen. Dies kann in der Anfangsphase zu einer Zurückhaltung potenzieller BewerberInnen, insbesondere in Ländern, in der eher reputationsbasiert entschieden wird, führen. Dieses Risiko wird im Projekt bewusst adressiert, indem im Marketing nicht auf institutionelle Größe oder Reputation im klassischen Sinne gesetzt wird, sondern auf nachweisbare Qualitätsmerkmale: individuelle Betreuung, frühzeitige Forschungseinbindung, direkte Kontakte zu etablierten ProfessorInnen mit bereits engen Kontakten in Süd- und Südostasien (z.B. Prof. Dr. Bhaskar Choubey) und Subsahara-Afrika (z.B. Prof. Dr. Kristof Van Laerhoven), sowie reale Entwicklungs- und Karriereperspektiven in und um Siegen. Diese Aspekte werden im Recruiting und insbesondere im Digital Prep-Bereich sowie in der Summer School aktiv vermittelt.</w:t>
            </w:r>
          </w:p>
          <w:p>
            <w:pPr>
              <w:pStyle w:val="Normal"/>
              <w:widowControl/>
              <w:spacing w:lineRule="auto" w:line="259" w:before="0" w:after="120"/>
              <w:jc w:val="both"/>
              <w:rPr>
                <w:sz w:val="20"/>
              </w:rPr>
            </w:pPr>
            <w:r>
              <w:rPr>
                <w:rFonts w:eastAsia="Source Sans Pro" w:cs="Arial"/>
                <w:kern w:val="0"/>
                <w:sz w:val="20"/>
                <w:szCs w:val="22"/>
                <w:lang w:val="de-DE" w:eastAsia="en-US" w:bidi="ar-SA"/>
              </w:rPr>
              <w:t>Ein weiteres Risiko liegt in der Konkurrenz durch stark nachgefragte Masterprogramme an renommierten Standorten (RWTH, TUM), die oft durch hohe Studierendenzahlen und begrenzte Betreuungsressourcen gekennzeichnet sind. Hier positioniert sich EXCELS bewusst kontrastierend: Das enge Betreuungsverhältnis, kleine Kohorten, die frühe persönliche Einbindung in Forschungsgruppen und die gezielte Betreuung durch das IO werden als klarer Mehrwert kommuniziert und stellen für leistungsstarke, forschungsorientierte Studierende ein zentrales Entscheidungskriterium dar. Dennoch wäre es möglich, dass sich keine Teilnehmende von EXCELS in einem Jahr für ein Masterstudium in Siegen entscheiden. Auch heterogene fachliche Vorkenntnisse der Teilnehmenden stellen ein potenzielles Risiko dar. Dieses wird durch die fachlich abgestimmten Digital-Prep-Angebote systematisch aufgefangen, indem ein gemeinsamer Wissensstand hergestellt und individueller Förderbedarf frühzeitig erkannt wird. Weitere organisatorische Risiken, etwa im Zusammenhang mit Visumsverfahren oder administrativen Übergängen, werden durch die enge Zusammenarbeit mit dem IO, klare Zuständigkeiten und frühzeitige Beratung sowie Information minimiert.</w:t>
            </w:r>
          </w:p>
          <w:p>
            <w:pPr>
              <w:pStyle w:val="Normal"/>
              <w:widowControl/>
              <w:spacing w:lineRule="auto" w:line="259" w:before="0" w:after="0"/>
              <w:jc w:val="both"/>
              <w:rPr>
                <w:b/>
                <w:bCs/>
                <w:sz w:val="20"/>
              </w:rPr>
            </w:pPr>
            <w:r>
              <w:rPr>
                <w:rFonts w:eastAsia="Source Sans Pro" w:cs="Arial"/>
                <w:b/>
                <w:bCs/>
                <w:kern w:val="0"/>
                <w:sz w:val="20"/>
                <w:szCs w:val="22"/>
                <w:lang w:val="de-DE" w:eastAsia="en-US" w:bidi="ar-SA"/>
              </w:rPr>
              <w:t>2. Strukturelle bzw. nachhaltige Wirkungen</w:t>
            </w:r>
          </w:p>
          <w:p>
            <w:pPr>
              <w:pStyle w:val="Normal"/>
              <w:widowControl/>
              <w:spacing w:lineRule="auto" w:line="259" w:before="0" w:after="120"/>
              <w:jc w:val="both"/>
              <w:rPr>
                <w:sz w:val="20"/>
              </w:rPr>
            </w:pPr>
            <w:r>
              <w:rPr>
                <w:rFonts w:eastAsia="Source Sans Pro" w:cs="Arial"/>
                <w:kern w:val="0"/>
                <w:sz w:val="20"/>
                <w:szCs w:val="22"/>
                <w:lang w:val="de-DE" w:eastAsia="en-US" w:bidi="ar-SA"/>
              </w:rPr>
              <w:t>Das Projekt ist von Beginn an so konzipiert, dass seine zentralen Strukturen und pilotierten Maßnahmen über den Förderzeitraum hinaus wirken und zu einer nachhaltigen Stärkung der Rekrutierungs- und Betreuungsstrukturen der Universität Siegen beitragen. Die Formate werden nicht isoliert, sondern systematisch in bestehende Strukturen integriert und weiterentwickelt. Innerhalb der Universität entsteht durch das Projekt ein dauerhaft einsetzbares, fachlich spezialisiertes Onboarding-Modell für internationale Studierende in forschungsintensiven Hightech-Studiengängen. Insbesondere die entwickelten Digital Prep-Formate können nach Projektende mit geringem Ressourceneinsatz weitergeführt und auf weitere Masterstudiengänge im Department ETI sowie perspektivisch auf andere technisch-naturwissenschaftliche Fachbereiche übertragen werden. Die enge Zusammenarbeit zwischen ETI, ZESS und IO stärkt dauerhaft die institutionelle Verzahnung von Fachbereichen und Services und trägt zur kontinuierlichen Professionalisierung der internationalen Betreuungsstrukturen bei.</w:t>
            </w:r>
          </w:p>
          <w:p>
            <w:pPr>
              <w:pStyle w:val="Normal"/>
              <w:widowControl/>
              <w:spacing w:lineRule="auto" w:line="259" w:before="0" w:after="120"/>
              <w:jc w:val="both"/>
              <w:rPr>
                <w:sz w:val="20"/>
              </w:rPr>
            </w:pPr>
            <w:r>
              <w:rPr>
                <w:rFonts w:eastAsia="Source Sans Pro" w:cs="Arial"/>
                <w:kern w:val="0"/>
                <w:sz w:val="20"/>
                <w:szCs w:val="22"/>
                <w:lang w:val="de-DE" w:eastAsia="en-US" w:bidi="ar-SA"/>
              </w:rPr>
              <w:t>Auch die forschungsnahe Summer School ist so angelegt, dass sie als wiederkehrendes Format am Standort Siegen etabliert werden kann. Durch die Anbindung an das jährlich stattfindende ZESS Research Forum sowie die Einbindung bestehender Forschungs- und Transferstrukturen entsteht ein tragfähiges organisatorisches Fundament, das eine Fortführung über den Förderzeitraum hinaus ermöglicht – beispielsweise in angepasster Form, mit geringerer Teilnehmerzahl oder durch Kofinanzierung aus Drittmitteln, Fakultätsmitteln oder Beiträgen von Industriepartnern. Die Summer School wirkt damit nicht nur als Recruiting-Instrument, sondern langfristig auch als Sichtbarkeit für den Forschungsstandort Siegen. Für die Zielgruppe der internationalen Studierenden entfaltet das Projekt nachhaltige Wirkungen durch die frühe fachliche Orientierung, die Anbindung an Forschungsgruppen und den Aufbau stabiler Peer- und Mentoring-Netzwerke. Diese Strukturen unterstützen nicht nur den erfolgreichen Studienverlauf, sondern erhöhen auch die Wahrscheinlichkeit eines Verbleibs im deutschen Wissenschafts- und Innovationssystem über das Masterstudium hinaus (z.B. Promotionen, Beschäftigung in technologieintensiven Unternehmen).</w:t>
            </w:r>
          </w:p>
          <w:p>
            <w:pPr>
              <w:pStyle w:val="Normal"/>
              <w:widowControl/>
              <w:spacing w:lineRule="auto" w:line="259" w:before="0" w:after="120"/>
              <w:jc w:val="both"/>
              <w:rPr>
                <w:sz w:val="20"/>
              </w:rPr>
            </w:pPr>
            <w:r>
              <w:rPr>
                <w:rFonts w:eastAsia="Source Sans Pro" w:cs="Arial"/>
                <w:kern w:val="0"/>
                <w:sz w:val="20"/>
                <w:szCs w:val="22"/>
                <w:lang w:val="de-DE" w:eastAsia="en-US" w:bidi="ar-SA"/>
              </w:rPr>
              <w:t>Über die Universität Siegen hinaus leistet das Projekt einen Beitrag zur Weiterentwicklung guter Praxis im Hochschulkontext. Die im Projekt gewonnenen Erkenntnisse zu wirksamen Rekrutierungs- und Onboarding-Ansätzen für internationale Studierende in Hightech-Studiengängen werden systematisch dokumentiert, reflektiert und aufbereitet. Geplant ist die Erstellung von praxisnahen Leitfäden und Konzeptpapieren (z. B. zu fachlich integriertem Digital Prep, forschungsnahen Summer School, Mentoring), die hochschulübergreifend nutzbar sind. Ergänzend können die Erfahrungen in geeigneten Formaten verbreitet werden, etwa durch Beiträge in Netzwerken, Workshops, Tagungen oder DAAD-bezogene Austauschformaten. Darüber hinaus werden ausgewählte Elemente des Projekts, insbesondere modulare Online-Formate und evaluierte Auswahl- und Betreuungsprozesse, so dokumentiert, dass sie auch von anderen Hochschulen adaptiert werden können. Durch die Einbindung bestehender nationaler und internationaler Netzwerke des ZESS, der beteiligten Fachbereiche und des IOs wird der Wissenstransfer aktiv unterstützt. Auf diese Weise trägt das Projekt dazu bei, über den Förderzeitraum hinaus strukturelle, übertragbare und nachhaltige Effekte innerhalb der Universität Siegen sowie im weiteren Hochschul- und Wissenschaftssystem zu entfalten.</w:t>
            </w:r>
            <w:bookmarkStart w:id="8" w:name="_Hlk88829611"/>
            <w:bookmarkEnd w:id="8"/>
          </w:p>
        </w:tc>
      </w:tr>
    </w:tbl>
    <w:p>
      <w:pPr>
        <w:pStyle w:val="Normal"/>
        <w:rPr>
          <w:rFonts w:ascii="Source Sans Pro Bold" w:hAnsi="Source Sans Pro Bold" w:cs="Arial" w:asciiTheme="majorHAnsi" w:hAnsiTheme="majorHAnsi"/>
          <w:bCs/>
          <w:sz w:val="22"/>
        </w:rPr>
      </w:pPr>
      <w:r>
        <w:rPr>
          <w:rFonts w:cs="Arial" w:ascii="Source Sans Pro Bold" w:hAnsi="Source Sans Pro Bold"/>
          <w:bCs/>
          <w:sz w:val="22"/>
        </w:rPr>
      </w:r>
    </w:p>
    <w:p>
      <w:pPr>
        <w:pStyle w:val="Normal"/>
        <w:rPr>
          <w:rFonts w:ascii="Source Sans Pro Bold" w:hAnsi="Source Sans Pro Bold" w:cs="Arial" w:asciiTheme="majorHAnsi" w:hAnsiTheme="majorHAnsi"/>
          <w:bCs/>
          <w:sz w:val="22"/>
        </w:rPr>
      </w:pPr>
      <w:r>
        <w:rPr>
          <w:rFonts w:cs="Arial" w:ascii="Source Sans Pro Bold" w:hAnsi="Source Sans Pro Bold"/>
          <w:bCs/>
          <w:sz w:val="22"/>
        </w:rPr>
      </w:r>
    </w:p>
    <w:tbl>
      <w:tblPr>
        <w:tblStyle w:val="TableGrid"/>
        <w:tblW w:w="5000" w:type="pct"/>
        <w:jc w:val="start"/>
        <w:tblInd w:w="-5" w:type="dxa"/>
        <w:tblLayout w:type="fixed"/>
        <w:tblCellMar>
          <w:top w:w="0" w:type="dxa"/>
          <w:start w:w="108" w:type="dxa"/>
          <w:bottom w:w="0" w:type="dxa"/>
          <w:end w:w="108" w:type="dxa"/>
        </w:tblCellMar>
        <w:tblLook w:val="04a0" w:noHBand="0" w:noVBand="1" w:firstColumn="1" w:lastRow="0" w:lastColumn="0" w:firstRow="1"/>
      </w:tblPr>
      <w:tblGrid>
        <w:gridCol w:w="2562"/>
        <w:gridCol w:w="6792"/>
      </w:tblGrid>
      <w:tr>
        <w:trPr>
          <w:trHeight w:val="397" w:hRule="atLeast"/>
        </w:trPr>
        <w:tc>
          <w:tcPr>
            <w:tcW w:w="9354" w:type="dxa"/>
            <w:gridSpan w:val="2"/>
            <w:tcBorders>
              <w:top w:val="single" w:sz="4" w:space="0" w:color="808080"/>
              <w:start w:val="single" w:sz="4" w:space="0" w:color="808080"/>
              <w:bottom w:val="single" w:sz="2" w:space="0" w:color="808080"/>
              <w:end w:val="single" w:sz="4" w:space="0" w:color="808080"/>
            </w:tcBorders>
            <w:shd w:color="auto" w:fill="D9D9D9" w:themeFill="background1" w:themeFillShade="d9" w:val="clear"/>
            <w:vAlign w:val="center"/>
          </w:tcPr>
          <w:sdt>
            <w:sdtPr>
              <w:id w:val="221415220"/>
              <w:placeholder>
                <w:docPart w:val="DefaultPlaceholder_-1854013440"/>
              </w:placeholder>
              <w:lock w:val="sdtContentLocked"/>
            </w:sdtPr>
            <w:sdtContent>
              <w:p>
                <w:pPr>
                  <w:pStyle w:val="pf0"/>
                  <w:widowControl/>
                  <w:spacing w:before="0" w:after="0"/>
                  <w:jc w:val="start"/>
                  <w:rPr>
                    <w:rFonts w:ascii="Arial" w:hAnsi="Arial" w:cs="Arial"/>
                    <w:sz w:val="20"/>
                    <w:szCs w:val="20"/>
                  </w:rPr>
                </w:pPr>
                <w:r>
                  <w:rPr>
                    <w:rFonts w:ascii="Source Sans Pro Bold" w:hAnsi="Source Sans Pro Bold" w:asciiTheme="majorHAnsi" w:hAnsiTheme="majorHAnsi"/>
                    <w:b/>
                    <w:kern w:val="0"/>
                    <w:sz w:val="22"/>
                    <w:lang w:val="de-DE" w:bidi="ar-SA"/>
                  </w:rPr>
                  <w:t>Beschreibung der Maßnahmen/Aktivitäten</w:t>
                </w:r>
              </w:p>
            </w:sdtContent>
          </w:sdt>
        </w:tc>
      </w:tr>
      <w:tr>
        <w:trPr>
          <w:trHeight w:val="1077" w:hRule="atLeast"/>
        </w:trPr>
        <w:tc>
          <w:tcPr>
            <w:tcW w:w="9354" w:type="dxa"/>
            <w:gridSpan w:val="2"/>
            <w:tcBorders>
              <w:top w:val="single" w:sz="2" w:space="0" w:color="808080"/>
              <w:start w:val="single" w:sz="4" w:space="0" w:color="808080"/>
              <w:bottom w:val="single" w:sz="2" w:space="0" w:color="808080"/>
              <w:end w:val="single" w:sz="4" w:space="0" w:color="808080"/>
            </w:tcBorders>
            <w:shd w:color="auto" w:fill="F2F2F2" w:themeFill="background1" w:themeFillShade="f2" w:val="clear"/>
            <w:vAlign w:val="center"/>
          </w:tcPr>
          <w:sdt>
            <w:sdtPr>
              <w:id w:val="-1153138252"/>
              <w:placeholder>
                <w:docPart w:val="DefaultPlaceholder_-1854013440"/>
              </w:placeholder>
              <w:lock w:val="sdtContentLocked"/>
            </w:sdtPr>
            <w:sdtContent>
              <w:p>
                <w:pPr>
                  <w:pStyle w:val="Normal"/>
                  <w:widowControl/>
                  <w:spacing w:before="0" w:after="120"/>
                  <w:jc w:val="start"/>
                  <w:rPr>
                    <w:sz w:val="20"/>
                    <w:szCs w:val="20"/>
                  </w:rPr>
                </w:pPr>
                <w:r>
                  <w:rPr>
                    <w:rFonts w:eastAsia="" w:cs="Times New Roman" w:eastAsiaTheme="majorEastAsia"/>
                    <w:kern w:val="0"/>
                    <w:sz w:val="20"/>
                    <w:szCs w:val="20"/>
                    <w:lang w:val="de-DE" w:eastAsia="en-US" w:bidi="ar-SA"/>
                  </w:rPr>
                  <w:t xml:space="preserve">Für weitere </w:t>
                </w:r>
                <w:r>
                  <w:rPr>
                    <w:rFonts w:eastAsia="" w:cs="Arial" w:eastAsiaTheme="majorEastAsia"/>
                    <w:kern w:val="0"/>
                    <w:sz w:val="20"/>
                    <w:szCs w:val="20"/>
                    <w:lang w:val="de-DE" w:eastAsia="en-US" w:bidi="ar-SA"/>
                  </w:rPr>
                  <w:t>Maßnahmen/Aktivitäten fügen Sie neue Tabellenzeilen ein.</w:t>
                </w:r>
              </w:p>
              <w:p>
                <w:pPr>
                  <w:pStyle w:val="Normal"/>
                  <w:widowControl/>
                  <w:spacing w:before="0" w:after="0"/>
                  <w:ind w:start="321"/>
                  <w:jc w:val="start"/>
                  <w:rPr>
                    <w:rFonts w:eastAsia="" w:eastAsiaTheme="majorEastAsia"/>
                    <w:sz w:val="20"/>
                    <w:szCs w:val="20"/>
                  </w:rPr>
                </w:pPr>
                <w:r>
                  <w:rPr>
                    <w:rFonts w:eastAsia="" w:cs="Arial" w:eastAsiaTheme="majorEastAsia"/>
                    <w:kern w:val="0"/>
                    <w:sz w:val="20"/>
                    <w:szCs w:val="20"/>
                    <w:u w:val="single"/>
                    <w:lang w:val="de-DE" w:eastAsia="en-US" w:bidi="ar-SA"/>
                  </w:rPr>
                  <w:t>Hinweise</w:t>
                </w:r>
                <w:r>
                  <w:rPr>
                    <w:rFonts w:eastAsia="" w:cs="Arial" w:eastAsiaTheme="majorEastAsia"/>
                    <w:kern w:val="0"/>
                    <w:sz w:val="20"/>
                    <w:szCs w:val="20"/>
                    <w:lang w:val="de-DE" w:eastAsia="en-US" w:bidi="ar-SA"/>
                  </w:rPr>
                  <w:t xml:space="preserve">: </w:t>
                </w:r>
              </w:p>
              <w:p>
                <w:pPr>
                  <w:pStyle w:val="Normal"/>
                  <w:widowControl/>
                  <w:spacing w:before="0" w:after="120"/>
                  <w:ind w:start="323"/>
                  <w:jc w:val="start"/>
                  <w:rPr>
                    <w:rFonts w:cs="Times New Roman"/>
                    <w:sz w:val="20"/>
                    <w:szCs w:val="20"/>
                  </w:rPr>
                </w:pPr>
                <w:r>
                  <w:rPr>
                    <w:rFonts w:eastAsia="" w:cs="Arial" w:eastAsiaTheme="majorEastAsia"/>
                    <w:kern w:val="0"/>
                    <w:sz w:val="20"/>
                    <w:szCs w:val="20"/>
                    <w:lang w:val="de-DE" w:eastAsia="en-US" w:bidi="ar-SA"/>
                  </w:rPr>
                  <w:t xml:space="preserve">Die Maßnahmen/Aktivitäten </w:t>
                </w:r>
                <w:r>
                  <w:rPr>
                    <w:rFonts w:eastAsia="Source Sans Pro" w:cs="Times New Roman"/>
                    <w:kern w:val="0"/>
                    <w:sz w:val="20"/>
                    <w:szCs w:val="20"/>
                    <w:lang w:val="de-DE" w:eastAsia="en-US" w:bidi="ar-SA"/>
                  </w:rPr>
                  <w:t>müssen mit der wirkungsorientierten Projektplanung in der Projektplanungsübersicht übereinstimmen.</w:t>
                </w:r>
              </w:p>
              <w:p>
                <w:pPr>
                  <w:pStyle w:val="Normal"/>
                  <w:widowControl/>
                  <w:spacing w:before="0" w:after="120"/>
                  <w:ind w:start="323"/>
                  <w:jc w:val="start"/>
                  <w:rPr>
                    <w:rFonts w:cs="Times New Roman"/>
                    <w:sz w:val="20"/>
                    <w:szCs w:val="20"/>
                  </w:rPr>
                </w:pPr>
                <w:r>
                  <w:rPr>
                    <w:rFonts w:eastAsia="Source Sans Pro" w:cs="Times New Roman"/>
                    <w:kern w:val="0"/>
                    <w:sz w:val="20"/>
                    <w:szCs w:val="20"/>
                    <w:lang w:val="de-DE" w:eastAsia="en-US" w:bidi="ar-SA"/>
                  </w:rPr>
                  <w:t>Erläutern Sie bei „Sach- u. Personalaufwand“ den erforderlichen Personalaufwand (Für welche Aufgaben werden Mitarbeitende konkret eingesetzt?) und Sachaufwand (Welche Sachmittel werden eingesetzt?) WICHTIG: An dieser Stelle müssen keine konkreten Beträge genannt werden; dies erfolgt im Finanzierungsplan.</w:t>
                </w:r>
              </w:p>
            </w:sdtContent>
          </w:sdt>
        </w:tc>
      </w:tr>
      <w:tr>
        <w:trPr>
          <w:trHeight w:val="397" w:hRule="atLeast"/>
        </w:trPr>
        <w:tc>
          <w:tcPr>
            <w:tcW w:w="2562" w:type="dxa"/>
            <w:tcBorders>
              <w:top w:val="single" w:sz="2" w:space="0" w:color="808080"/>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0"/>
              <w:jc w:val="start"/>
              <w:rPr>
                <w:b/>
                <w:sz w:val="20"/>
              </w:rPr>
            </w:pPr>
            <w:sdt>
              <w:sdtPr>
                <w:placeholder>
                  <w:docPart w:val="DefaultPlaceholder_-1854013440"/>
                </w:placeholder>
                <w:id w:val="-296988777"/>
                <w:lock w:val="contentLocked"/>
                <w:text/>
              </w:sdtPr>
              <w:sdtContent>
                <w:r>
                  <w:rPr>
                    <w:rFonts w:eastAsia="Source Sans Pro" w:cs="Arial"/>
                    <w:b/>
                    <w:kern w:val="0"/>
                    <w:sz w:val="20"/>
                    <w:szCs w:val="22"/>
                    <w:lang w:val="de-DE" w:eastAsia="en-US" w:bidi="ar-SA"/>
                  </w:rPr>
                </w:r>
                <w:r>
                  <w:rPr>
                    <w:rFonts w:eastAsia="Source Sans Pro" w:cs="Arial"/>
                    <w:b/>
                    <w:kern w:val="0"/>
                    <w:sz w:val="20"/>
                    <w:szCs w:val="22"/>
                    <w:lang w:val="de-DE" w:eastAsia="en-US" w:bidi="ar-SA"/>
                  </w:rPr>
                  <w:t>Maßnahme/Aktivität 1</w:t>
                </w:r>
              </w:sdtContent>
            </w:sdt>
          </w:p>
        </w:tc>
        <w:tc>
          <w:tcPr>
            <w:tcW w:w="6792" w:type="dxa"/>
            <w:tcBorders>
              <w:top w:val="single" w:sz="2" w:space="0" w:color="808080"/>
              <w:start w:val="single" w:sz="4" w:space="0" w:color="D9D9D9"/>
              <w:bottom w:val="single" w:sz="4" w:space="0" w:color="D9D9D9"/>
              <w:end w:val="single" w:sz="4" w:space="0" w:color="808080"/>
            </w:tcBorders>
          </w:tcPr>
          <w:p>
            <w:pPr>
              <w:pStyle w:val="Normal"/>
              <w:widowControl/>
              <w:spacing w:lineRule="auto" w:line="259" w:before="0" w:after="0"/>
              <w:jc w:val="start"/>
              <w:rPr>
                <w:b/>
                <w:sz w:val="20"/>
                <w:szCs w:val="20"/>
              </w:rPr>
            </w:pPr>
            <w:r>
              <w:rPr>
                <w:rFonts w:eastAsia="Source Sans Pro" w:cs="Arial"/>
                <w:b/>
                <w:kern w:val="0"/>
                <w:sz w:val="20"/>
                <w:szCs w:val="20"/>
                <w:lang w:val="de-DE" w:eastAsia="en-US" w:bidi="ar-SA"/>
              </w:rPr>
              <w:t>Recruiting-Reisen</w:t>
            </w:r>
          </w:p>
        </w:tc>
      </w:tr>
      <w:tr>
        <w:trPr>
          <w:trHeight w:val="397" w:hRule="atLeast"/>
        </w:trPr>
        <w:tc>
          <w:tcPr>
            <w:tcW w:w="2562" w:type="dxa"/>
            <w:tcBorders>
              <w:top w:val="single" w:sz="4" w:space="0" w:color="D9D9D9"/>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before="0" w:after="0"/>
              <w:jc w:val="start"/>
              <w:rPr>
                <w:rFonts w:ascii="Arial" w:hAnsi="Arial"/>
                <w:sz w:val="20"/>
              </w:rPr>
            </w:pPr>
            <w:r>
              <w:rPr>
                <w:rFonts w:eastAsia="Source Sans Pro" w:cs="Arial" w:ascii="Source Sans Pro" w:hAnsi="Source Sans Pro"/>
                <w:kern w:val="0"/>
                <w:sz w:val="20"/>
                <w:szCs w:val="20"/>
                <w:shd w:fill="F2F2F2" w:val="clear"/>
                <w:lang w:val="de-DE" w:eastAsia="en-US" w:bidi="ar-SA"/>
              </w:rPr>
              <w:t>Bitte ordnen Sie die Maßnahme/Aktivität einem Baustein des Programms zu.</w:t>
            </w:r>
          </w:p>
        </w:tc>
        <w:tc>
          <w:tcPr>
            <w:tcW w:w="6792" w:type="dxa"/>
            <w:tcBorders>
              <w:top w:val="single" w:sz="4" w:space="0" w:color="D9D9D9"/>
              <w:start w:val="single" w:sz="4" w:space="0" w:color="D9D9D9"/>
              <w:bottom w:val="single" w:sz="4" w:space="0" w:color="D9D9D9"/>
              <w:end w:val="single" w:sz="4" w:space="0" w:color="808080"/>
            </w:tcBorders>
          </w:tcPr>
          <w:p>
            <w:pPr>
              <w:pStyle w:val="Normal"/>
              <w:widowControl/>
              <w:spacing w:before="0" w:after="0"/>
              <w:jc w:val="start"/>
              <w:rPr>
                <w:rStyle w:val="Formatvorlage9"/>
                <w:rFonts w:ascii="Source Sans Pro" w:hAnsi="Source Sans Pro" w:asciiTheme="minorHAnsi" w:hAnsiTheme="minorHAnsi"/>
                <w:szCs w:val="20"/>
              </w:rPr>
            </w:pPr>
            <w:sdt>
              <w:sdtPr>
                <w:alias w:val=""/>
                <w:dropDownList w:lastValue="1">
                  <w:listItem w:value="Wählen Sie einen Baustein aus." w:displayText="Wählen Sie einen Baustein aus."/>
                  <w:listItem w:value="Baustein 1: Recruiting" w:displayText="Baustein 1: Recruiting"/>
                  <w:listItem w:value="Baustein 2: Oboarding" w:displayText="Baustein 2: Oboarding"/>
                  <w:listItem w:value="Baustein 3: Career" w:displayText="Baustein 3: Career"/>
                </w:dropDownList>
              </w:sdtPr>
              <w:sdtContent>
                <w:r>
                  <w:rPr>
                    <w:rFonts w:eastAsia="Source Sans Pro" w:cs="Arial"/>
                    <w:kern w:val="0"/>
                    <w:szCs w:val="22"/>
                    <w:lang w:val="de-DE" w:eastAsia="en-US" w:bidi="ar-SA"/>
                  </w:rPr>
                </w:r>
                <w:r>
                  <w:t>Baustein 1: Recruiting</w:t>
                </w:r>
              </w:sdtContent>
            </w:sdt>
          </w:p>
        </w:tc>
      </w:tr>
      <w:tr>
        <w:trPr>
          <w:trHeight w:val="413" w:hRule="atLeast"/>
        </w:trPr>
        <w:tc>
          <w:tcPr>
            <w:tcW w:w="2562" w:type="dxa"/>
            <w:tcBorders>
              <w:top w:val="single" w:sz="4" w:space="0" w:color="D9D9D9"/>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0"/>
              <w:jc w:val="start"/>
              <w:rPr>
                <w:sz w:val="20"/>
              </w:rPr>
            </w:pPr>
            <w:sdt>
              <w:sdtPr>
                <w:placeholder>
                  <w:docPart w:val="DefaultPlaceholder_-1854013440"/>
                </w:placeholder>
                <w:id w:val="1823310891"/>
                <w:lock w:val="contentLocked"/>
              </w:sdtPr>
              <w:sdtContent>
                <w:r>
                  <w:rPr>
                    <w:rFonts w:eastAsia="Source Sans Pro" w:cs="Arial"/>
                    <w:kern w:val="0"/>
                    <w:sz w:val="20"/>
                    <w:szCs w:val="22"/>
                    <w:shd w:fill="F2F2F2" w:val="clear"/>
                    <w:lang w:val="de-DE" w:eastAsia="en-US" w:bidi="ar-SA"/>
                  </w:rPr>
                </w:r>
                <w:r>
                  <w:rPr>
                    <w:rFonts w:eastAsia="Source Sans Pro" w:cs="Arial"/>
                    <w:kern w:val="0"/>
                    <w:sz w:val="20"/>
                    <w:szCs w:val="22"/>
                    <w:shd w:fill="F2F2F2" w:val="clear"/>
                    <w:lang w:val="de-DE" w:eastAsia="en-US" w:bidi="ar-SA"/>
                  </w:rPr>
                  <w:t>Inhaltliche Beschreibung</w:t>
                </w:r>
              </w:sdtContent>
            </w:sdt>
          </w:p>
        </w:tc>
        <w:tc>
          <w:tcPr>
            <w:tcW w:w="6792" w:type="dxa"/>
            <w:tcBorders>
              <w:top w:val="single" w:sz="4" w:space="0" w:color="D9D9D9"/>
              <w:start w:val="single" w:sz="4" w:space="0" w:color="D9D9D9"/>
              <w:bottom w:val="single" w:sz="4" w:space="0" w:color="D9D9D9"/>
              <w:end w:val="single" w:sz="4" w:space="0" w:color="808080"/>
            </w:tcBorders>
          </w:tcPr>
          <w:p>
            <w:pPr>
              <w:pStyle w:val="Normal"/>
              <w:widowControl/>
              <w:spacing w:lineRule="auto" w:line="259" w:before="0" w:after="0"/>
              <w:jc w:val="start"/>
              <w:rPr>
                <w:sz w:val="20"/>
                <w:szCs w:val="20"/>
              </w:rPr>
            </w:pPr>
            <w:r>
              <w:rPr>
                <w:rFonts w:eastAsia="Source Sans Pro" w:cs="Arial"/>
                <w:kern w:val="0"/>
                <w:sz w:val="20"/>
                <w:szCs w:val="20"/>
                <w:lang w:val="de-DE" w:eastAsia="en-US" w:bidi="ar-SA"/>
              </w:rPr>
              <w:t>Planung und Durchführung von Recruiting-Reisen in definierte Zielländer und -regionen zur Gewinnung von exzellenten internationalen Fachstudierenden für die Formate im Projekt EXCELS (Digital Prep, Summer School) und die beiden forschungsintensiven Masterprogramme (Computer Science, Electrical Engineering)</w:t>
            </w:r>
          </w:p>
        </w:tc>
      </w:tr>
      <w:tr>
        <w:trPr>
          <w:trHeight w:val="397" w:hRule="atLeast"/>
        </w:trPr>
        <w:tc>
          <w:tcPr>
            <w:tcW w:w="2562" w:type="dxa"/>
            <w:tcBorders>
              <w:top w:val="single" w:sz="4" w:space="0" w:color="D9D9D9"/>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before="0" w:after="0"/>
              <w:jc w:val="start"/>
              <w:rPr>
                <w:sz w:val="20"/>
                <w:szCs w:val="20"/>
              </w:rPr>
            </w:pPr>
            <w:sdt>
              <w:sdtPr>
                <w:placeholder>
                  <w:docPart w:val="DefaultPlaceholder_-1854013440"/>
                </w:placeholder>
                <w:id w:val="-1332055613"/>
                <w:lock w:val="contentLocked"/>
                <w:text/>
              </w:sdtPr>
              <w:sdtContent>
                <w:r>
                  <w:rPr>
                    <w:rFonts w:eastAsia="Source Sans Pro" w:cs="Arial"/>
                    <w:kern w:val="0"/>
                    <w:sz w:val="20"/>
                    <w:szCs w:val="20"/>
                    <w:shd w:fill="F2F2F2" w:val="clear"/>
                    <w:lang w:val="de-DE" w:eastAsia="en-US" w:bidi="ar-SA"/>
                  </w:rPr>
                </w:r>
                <w:r>
                  <w:rPr>
                    <w:rFonts w:eastAsia="Source Sans Pro" w:cs="Arial"/>
                    <w:kern w:val="0"/>
                    <w:sz w:val="20"/>
                    <w:szCs w:val="20"/>
                    <w:shd w:fill="F2F2F2" w:val="clear"/>
                    <w:lang w:val="de-DE" w:eastAsia="en-US" w:bidi="ar-SA"/>
                  </w:rPr>
                  <w:t>Sach- u. Personalaufwand</w:t>
                </w:r>
              </w:sdtContent>
            </w:sdt>
          </w:p>
        </w:tc>
        <w:tc>
          <w:tcPr>
            <w:tcW w:w="6792" w:type="dxa"/>
            <w:tcBorders>
              <w:top w:val="single" w:sz="4" w:space="0" w:color="D9D9D9"/>
              <w:start w:val="single" w:sz="4" w:space="0" w:color="D9D9D9"/>
              <w:bottom w:val="single" w:sz="4" w:space="0" w:color="D9D9D9"/>
              <w:end w:val="single" w:sz="4" w:space="0" w:color="808080"/>
            </w:tcBorders>
          </w:tcPr>
          <w:p>
            <w:pPr>
              <w:pStyle w:val="Normal"/>
              <w:widowControl/>
              <w:spacing w:before="0" w:after="0"/>
              <w:jc w:val="start"/>
              <w:rPr>
                <w:rStyle w:val="Formatvorlage9"/>
                <w:rFonts w:ascii="Source Sans Pro" w:hAnsi="Source Sans Pro" w:asciiTheme="minorHAnsi" w:hAnsiTheme="minorHAnsi"/>
              </w:rPr>
            </w:pPr>
            <w:r>
              <w:rPr>
                <w:rStyle w:val="Formatvorlage9"/>
                <w:rFonts w:eastAsia="Source Sans Pro" w:cs="Arial"/>
                <w:kern w:val="0"/>
                <w:szCs w:val="22"/>
                <w:lang w:val="de-DE" w:eastAsia="en-US" w:bidi="ar-SA"/>
              </w:rPr>
              <w:t>Personalkosten in ETI und IO, Kosten für Mobilität und Aufenthalt von Personal (Reisekosten), Kosten für Messeteilnahmen in Zielländern (Standgebühren, Versand und Produktion von Material)</w:t>
            </w:r>
          </w:p>
        </w:tc>
      </w:tr>
      <w:tr>
        <w:trPr>
          <w:trHeight w:val="397" w:hRule="atLeast"/>
        </w:trPr>
        <w:tc>
          <w:tcPr>
            <w:tcW w:w="2562" w:type="dxa"/>
            <w:tcBorders>
              <w:top w:val="single" w:sz="4" w:space="0" w:color="D9D9D9"/>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before="0" w:after="0"/>
              <w:jc w:val="start"/>
              <w:rPr>
                <w:sz w:val="20"/>
              </w:rPr>
            </w:pPr>
            <w:sdt>
              <w:sdtPr>
                <w:placeholder>
                  <w:docPart w:val="DefaultPlaceholder_-1854013440"/>
                </w:placeholder>
                <w:id w:val="83653929"/>
                <w:lock w:val="contentLocked"/>
                <w:text/>
              </w:sdtPr>
              <w:sdtContent>
                <w:r>
                  <w:rPr>
                    <w:rFonts w:eastAsia="Source Sans Pro" w:cs="Arial"/>
                    <w:kern w:val="0"/>
                    <w:sz w:val="20"/>
                    <w:szCs w:val="22"/>
                    <w:lang w:val="de-DE" w:eastAsia="en-US" w:bidi="ar-SA"/>
                  </w:rPr>
                </w:r>
                <w:r>
                  <w:rPr>
                    <w:rFonts w:eastAsia="Source Sans Pro" w:cs="Arial"/>
                    <w:kern w:val="0"/>
                    <w:sz w:val="20"/>
                    <w:szCs w:val="22"/>
                    <w:lang w:val="de-DE" w:eastAsia="en-US" w:bidi="ar-SA"/>
                  </w:rPr>
                  <w:t>Zeitraum</w:t>
                </w:r>
              </w:sdtContent>
            </w:sdt>
          </w:p>
        </w:tc>
        <w:tc>
          <w:tcPr>
            <w:tcW w:w="6792" w:type="dxa"/>
            <w:tcBorders>
              <w:top w:val="single" w:sz="4" w:space="0" w:color="D9D9D9"/>
              <w:start w:val="single" w:sz="4" w:space="0" w:color="D9D9D9"/>
              <w:bottom w:val="single" w:sz="4" w:space="0" w:color="D9D9D9"/>
              <w:end w:val="single" w:sz="4" w:space="0" w:color="808080"/>
            </w:tcBorders>
          </w:tcPr>
          <w:p>
            <w:pPr>
              <w:pStyle w:val="Normal"/>
              <w:widowControl/>
              <w:spacing w:before="0" w:after="0"/>
              <w:jc w:val="start"/>
              <w:rPr>
                <w:rStyle w:val="Formatvorlage9"/>
                <w:rFonts w:ascii="Source Sans Pro" w:hAnsi="Source Sans Pro" w:asciiTheme="minorHAnsi" w:hAnsiTheme="minorHAnsi"/>
              </w:rPr>
            </w:pPr>
            <w:r>
              <w:rPr>
                <w:rStyle w:val="Formatvorlage9"/>
                <w:rFonts w:eastAsia="Source Sans Pro" w:cs="Arial"/>
                <w:kern w:val="0"/>
                <w:szCs w:val="22"/>
                <w:lang w:val="de-DE" w:eastAsia="en-US" w:bidi="ar-SA"/>
              </w:rPr>
              <w:t>Durchgehend, 01.05.2026-31.12.2029</w:t>
            </w:r>
          </w:p>
        </w:tc>
      </w:tr>
      <w:tr>
        <w:trPr>
          <w:trHeight w:val="397" w:hRule="atLeast"/>
        </w:trPr>
        <w:tc>
          <w:tcPr>
            <w:tcW w:w="2562" w:type="dxa"/>
            <w:tcBorders>
              <w:top w:val="single" w:sz="4" w:space="0" w:color="D9D9D9"/>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0"/>
              <w:jc w:val="start"/>
              <w:rPr>
                <w:b/>
                <w:sz w:val="20"/>
              </w:rPr>
            </w:pPr>
            <w:sdt>
              <w:sdtPr>
                <w:placeholder>
                  <w:docPart w:val="DefaultPlaceholder_-1854013440"/>
                </w:placeholder>
                <w:id w:val="858774262"/>
                <w:lock w:val="contentLocked"/>
                <w:text/>
              </w:sdtPr>
              <w:sdtContent>
                <w:r>
                  <w:rPr>
                    <w:rFonts w:eastAsia="Source Sans Pro" w:cs="Arial"/>
                    <w:b/>
                    <w:kern w:val="0"/>
                    <w:sz w:val="20"/>
                    <w:szCs w:val="22"/>
                    <w:lang w:val="de-DE" w:eastAsia="en-US" w:bidi="ar-SA"/>
                  </w:rPr>
                </w:r>
                <w:r>
                  <w:rPr>
                    <w:rFonts w:eastAsia="Source Sans Pro" w:cs="Arial"/>
                    <w:b/>
                    <w:kern w:val="0"/>
                    <w:sz w:val="20"/>
                    <w:szCs w:val="22"/>
                    <w:lang w:val="de-DE" w:eastAsia="en-US" w:bidi="ar-SA"/>
                  </w:rPr>
                  <w:t>Maßnahme/Aktivität 2</w:t>
                </w:r>
              </w:sdtContent>
            </w:sdt>
          </w:p>
        </w:tc>
        <w:tc>
          <w:tcPr>
            <w:tcW w:w="6792" w:type="dxa"/>
            <w:tcBorders>
              <w:top w:val="single" w:sz="4" w:space="0" w:color="D9D9D9"/>
              <w:start w:val="single" w:sz="4" w:space="0" w:color="D9D9D9"/>
              <w:bottom w:val="single" w:sz="4" w:space="0" w:color="D9D9D9"/>
              <w:end w:val="single" w:sz="4" w:space="0" w:color="808080"/>
            </w:tcBorders>
          </w:tcPr>
          <w:p>
            <w:pPr>
              <w:pStyle w:val="Normal"/>
              <w:widowControl/>
              <w:spacing w:lineRule="auto" w:line="259" w:before="0" w:after="0"/>
              <w:jc w:val="start"/>
              <w:rPr>
                <w:b/>
                <w:sz w:val="20"/>
                <w:szCs w:val="20"/>
              </w:rPr>
            </w:pPr>
            <w:r>
              <w:rPr>
                <w:rFonts w:eastAsia="Source Sans Pro" w:cs="Arial"/>
                <w:b/>
                <w:kern w:val="0"/>
                <w:sz w:val="20"/>
                <w:szCs w:val="20"/>
                <w:lang w:val="de-DE" w:eastAsia="en-US" w:bidi="ar-SA"/>
              </w:rPr>
              <w:t>Marketing-Kampagne</w:t>
            </w:r>
          </w:p>
        </w:tc>
      </w:tr>
      <w:tr>
        <w:trPr>
          <w:trHeight w:val="397" w:hRule="atLeast"/>
        </w:trPr>
        <w:tc>
          <w:tcPr>
            <w:tcW w:w="2562" w:type="dxa"/>
            <w:tcBorders>
              <w:top w:val="single" w:sz="4" w:space="0" w:color="D9D9D9"/>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before="0" w:after="0"/>
              <w:jc w:val="start"/>
              <w:rPr>
                <w:rFonts w:ascii="Arial" w:hAnsi="Arial"/>
                <w:sz w:val="20"/>
              </w:rPr>
            </w:pPr>
            <w:r>
              <w:rPr>
                <w:rFonts w:eastAsia="Source Sans Pro" w:cs="Arial" w:ascii="Source Sans Pro" w:hAnsi="Source Sans Pro"/>
                <w:kern w:val="0"/>
                <w:sz w:val="20"/>
                <w:szCs w:val="20"/>
                <w:shd w:fill="F2F2F2" w:val="clear"/>
                <w:lang w:val="de-DE" w:eastAsia="en-US" w:bidi="ar-SA"/>
              </w:rPr>
              <w:t>Bitte ordnen Sie die Maßnahme/Aktivität einem Baustein des Programms zu.</w:t>
            </w:r>
          </w:p>
        </w:tc>
        <w:tc>
          <w:tcPr>
            <w:tcW w:w="6792" w:type="dxa"/>
            <w:tcBorders>
              <w:top w:val="single" w:sz="4" w:space="0" w:color="D9D9D9"/>
              <w:start w:val="single" w:sz="4" w:space="0" w:color="D9D9D9"/>
              <w:bottom w:val="single" w:sz="4" w:space="0" w:color="D9D9D9"/>
              <w:end w:val="single" w:sz="4" w:space="0" w:color="808080"/>
            </w:tcBorders>
          </w:tcPr>
          <w:p>
            <w:pPr>
              <w:pStyle w:val="Normal"/>
              <w:widowControl/>
              <w:spacing w:before="0" w:after="0"/>
              <w:jc w:val="start"/>
              <w:rPr>
                <w:rStyle w:val="Formatvorlage9"/>
                <w:rFonts w:ascii="Source Sans Pro" w:hAnsi="Source Sans Pro" w:asciiTheme="minorHAnsi" w:hAnsiTheme="minorHAnsi"/>
                <w:szCs w:val="20"/>
              </w:rPr>
            </w:pPr>
            <w:sdt>
              <w:sdtPr>
                <w:alias w:val=""/>
                <w:dropDownList w:lastValue="1">
                  <w:listItem w:value="Wählen Sie einen Baustein aus." w:displayText="Wählen Sie einen Baustein aus."/>
                  <w:listItem w:value="Baustein 1: Recruiting" w:displayText="Baustein 1: Recruiting"/>
                  <w:listItem w:value="Baustein 2: Oboarding" w:displayText="Baustein 2: Oboarding"/>
                  <w:listItem w:value="Baustein 3: Career" w:displayText="Baustein 3: Career"/>
                </w:dropDownList>
              </w:sdtPr>
              <w:sdtContent>
                <w:r>
                  <w:rPr>
                    <w:rFonts w:eastAsia="Source Sans Pro" w:cs="Arial"/>
                    <w:kern w:val="0"/>
                    <w:szCs w:val="22"/>
                    <w:lang w:val="de-DE" w:eastAsia="en-US" w:bidi="ar-SA"/>
                  </w:rPr>
                </w:r>
                <w:r>
                  <w:t>Baustein 1: Recruiting</w:t>
                </w:r>
              </w:sdtContent>
            </w:sdt>
          </w:p>
        </w:tc>
      </w:tr>
      <w:tr>
        <w:trPr>
          <w:trHeight w:val="397" w:hRule="atLeast"/>
        </w:trPr>
        <w:tc>
          <w:tcPr>
            <w:tcW w:w="2562" w:type="dxa"/>
            <w:tcBorders>
              <w:top w:val="single" w:sz="4" w:space="0" w:color="D9D9D9"/>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0"/>
              <w:jc w:val="start"/>
              <w:rPr>
                <w:sz w:val="20"/>
              </w:rPr>
            </w:pPr>
            <w:sdt>
              <w:sdtPr>
                <w:placeholder>
                  <w:docPart w:val="2EC255E5D0AF4FA0B0C580201747B810"/>
                </w:placeholder>
                <w:id w:val="-872607579"/>
                <w:lock w:val="contentLocked"/>
              </w:sdtPr>
              <w:sdtContent>
                <w:r>
                  <w:rPr>
                    <w:rFonts w:eastAsia="Source Sans Pro" w:cs="Arial"/>
                    <w:kern w:val="0"/>
                    <w:sz w:val="20"/>
                    <w:szCs w:val="22"/>
                    <w:lang w:val="de-DE" w:eastAsia="en-US" w:bidi="ar-SA"/>
                  </w:rPr>
                </w:r>
                <w:r>
                  <w:rPr>
                    <w:rFonts w:eastAsia="Source Sans Pro" w:cs="Arial"/>
                    <w:kern w:val="0"/>
                    <w:sz w:val="20"/>
                    <w:szCs w:val="22"/>
                    <w:lang w:val="de-DE" w:eastAsia="en-US" w:bidi="ar-SA"/>
                  </w:rPr>
                  <w:t>Inhaltliche Beschreibung</w:t>
                </w:r>
              </w:sdtContent>
            </w:sdt>
          </w:p>
        </w:tc>
        <w:tc>
          <w:tcPr>
            <w:tcW w:w="6792" w:type="dxa"/>
            <w:tcBorders>
              <w:top w:val="single" w:sz="4" w:space="0" w:color="D9D9D9"/>
              <w:start w:val="single" w:sz="4" w:space="0" w:color="D9D9D9"/>
              <w:bottom w:val="single" w:sz="4" w:space="0" w:color="D9D9D9"/>
              <w:end w:val="single" w:sz="4" w:space="0" w:color="808080"/>
            </w:tcBorders>
          </w:tcPr>
          <w:p>
            <w:pPr>
              <w:pStyle w:val="Normal"/>
              <w:widowControl/>
              <w:spacing w:lineRule="auto" w:line="259" w:before="0" w:after="0"/>
              <w:jc w:val="start"/>
              <w:rPr>
                <w:sz w:val="20"/>
                <w:szCs w:val="20"/>
              </w:rPr>
            </w:pPr>
            <w:r>
              <w:rPr>
                <w:rFonts w:eastAsia="Source Sans Pro" w:cs="Arial"/>
                <w:kern w:val="0"/>
                <w:sz w:val="20"/>
                <w:szCs w:val="20"/>
                <w:lang w:val="de-DE" w:eastAsia="en-US" w:bidi="ar-SA"/>
              </w:rPr>
              <w:t>Die flankierende Marketing-Kampagne besteht aus vier Elementen:</w:t>
            </w:r>
          </w:p>
          <w:p>
            <w:pPr>
              <w:pStyle w:val="ListParagraph"/>
              <w:widowControl/>
              <w:numPr>
                <w:ilvl w:val="0"/>
                <w:numId w:val="5"/>
              </w:numPr>
              <w:spacing w:lineRule="auto" w:line="259" w:before="0" w:after="0"/>
              <w:contextualSpacing/>
              <w:jc w:val="start"/>
              <w:rPr>
                <w:sz w:val="20"/>
                <w:szCs w:val="20"/>
              </w:rPr>
            </w:pPr>
            <w:r>
              <w:rPr>
                <w:rFonts w:eastAsia="Source Sans Pro" w:cs="Arial"/>
                <w:kern w:val="0"/>
                <w:sz w:val="20"/>
                <w:szCs w:val="20"/>
                <w:lang w:val="de-DE" w:eastAsia="en-US" w:bidi="ar-SA"/>
              </w:rPr>
              <w:t>Video-Produktion für die beiden Studiengänge sowie ein Studierenden-Video (Produktion in unterschiedliche Längen für unterschiedliche Social-Media-Kanäle (Instagram, TikTok, You Tube, LinkedIn)) im ersten Projektjahr zur Nutzung bis Projektende.</w:t>
            </w:r>
          </w:p>
          <w:p>
            <w:pPr>
              <w:pStyle w:val="ListParagraph"/>
              <w:widowControl/>
              <w:numPr>
                <w:ilvl w:val="0"/>
                <w:numId w:val="5"/>
              </w:numPr>
              <w:spacing w:lineRule="auto" w:line="259" w:before="0" w:after="0"/>
              <w:contextualSpacing/>
              <w:jc w:val="start"/>
              <w:rPr>
                <w:sz w:val="20"/>
                <w:szCs w:val="20"/>
              </w:rPr>
            </w:pPr>
            <w:r>
              <w:rPr>
                <w:rFonts w:eastAsia="Source Sans Pro" w:cs="Arial"/>
                <w:kern w:val="0"/>
                <w:sz w:val="20"/>
                <w:szCs w:val="20"/>
                <w:lang w:val="de-DE" w:eastAsia="en-US" w:bidi="ar-SA"/>
              </w:rPr>
              <w:t>EXCELS-Anzeige in englischsprachiger ZEIT-Publikation Study &amp; Research in Germany in den Jahren 2026-2028.</w:t>
            </w:r>
          </w:p>
          <w:p>
            <w:pPr>
              <w:pStyle w:val="ListParagraph"/>
              <w:widowControl/>
              <w:numPr>
                <w:ilvl w:val="0"/>
                <w:numId w:val="5"/>
              </w:numPr>
              <w:spacing w:lineRule="auto" w:line="259" w:before="0" w:after="0"/>
              <w:contextualSpacing/>
              <w:jc w:val="start"/>
              <w:rPr>
                <w:sz w:val="20"/>
                <w:szCs w:val="20"/>
              </w:rPr>
            </w:pPr>
            <w:r>
              <w:rPr>
                <w:rFonts w:eastAsia="Source Sans Pro" w:cs="Arial"/>
                <w:kern w:val="0"/>
                <w:sz w:val="20"/>
                <w:szCs w:val="20"/>
                <w:lang w:val="de-DE" w:eastAsia="en-US" w:bidi="ar-SA"/>
              </w:rPr>
              <w:t>Studiengangsprofile auf kommerziellen Plattformen (z.B. My German University) für Computer Science und Electrical Engineering veröffentlichen, um hochqualifizierte Studierende anzusprechen.</w:t>
            </w:r>
          </w:p>
          <w:p>
            <w:pPr>
              <w:pStyle w:val="ListParagraph"/>
              <w:widowControl/>
              <w:numPr>
                <w:ilvl w:val="0"/>
                <w:numId w:val="5"/>
              </w:numPr>
              <w:spacing w:lineRule="auto" w:line="259" w:before="0" w:after="0"/>
              <w:contextualSpacing/>
              <w:jc w:val="start"/>
              <w:rPr>
                <w:sz w:val="20"/>
                <w:szCs w:val="20"/>
              </w:rPr>
            </w:pPr>
            <w:r>
              <w:rPr>
                <w:rFonts w:eastAsia="Source Sans Pro" w:cs="Arial"/>
                <w:kern w:val="0"/>
                <w:sz w:val="20"/>
                <w:szCs w:val="20"/>
                <w:lang w:val="de-DE" w:eastAsia="en-US" w:bidi="ar-SA"/>
              </w:rPr>
              <w:t>Länderspezifische Werbekampagne in den ausgesuchten Zielländern für die Angebote im EXCELS-Projekt (Digial Prep, Summer School) sowie für die beiden Masterstudiengänge mit Anzeigen auf Google, Facebook, LinkedIn sowie einer Pilotierung von Anzeigen in LLMs (ChatGPT, Co-Pilot etc.), ganzjährige Schaltung der Anzeigen mit besonderer Intensität in den Bewerbungszeiträumen für die beiden Studiengänge (3 Monate je Semester, 6 Monate im Jahr)</w:t>
            </w:r>
          </w:p>
          <w:p>
            <w:pPr>
              <w:pStyle w:val="Normal"/>
              <w:widowControl/>
              <w:spacing w:lineRule="auto" w:line="259" w:before="0" w:after="0"/>
              <w:jc w:val="start"/>
              <w:rPr>
                <w:sz w:val="20"/>
              </w:rPr>
            </w:pPr>
            <w:r>
              <w:rPr>
                <w:rFonts w:eastAsia="Source Sans Pro" w:cs="Arial"/>
                <w:kern w:val="0"/>
                <w:sz w:val="20"/>
                <w:szCs w:val="22"/>
                <w:lang w:val="de-DE" w:eastAsia="en-US" w:bidi="ar-SA"/>
              </w:rPr>
            </w:r>
          </w:p>
        </w:tc>
      </w:tr>
      <w:tr>
        <w:trPr>
          <w:trHeight w:val="397" w:hRule="atLeast"/>
        </w:trPr>
        <w:tc>
          <w:tcPr>
            <w:tcW w:w="2562" w:type="dxa"/>
            <w:tcBorders>
              <w:top w:val="single" w:sz="4" w:space="0" w:color="D9D9D9"/>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before="0" w:after="0"/>
              <w:jc w:val="start"/>
              <w:rPr>
                <w:sz w:val="20"/>
              </w:rPr>
            </w:pPr>
            <w:sdt>
              <w:sdtPr>
                <w:placeholder>
                  <w:docPart w:val="DefaultPlaceholder_-1854013440"/>
                </w:placeholder>
                <w:id w:val="1882438064"/>
                <w:lock w:val="contentLocked"/>
                <w:text/>
              </w:sdtPr>
              <w:sdtContent>
                <w:r>
                  <w:rPr>
                    <w:rFonts w:eastAsia="Source Sans Pro" w:cs="Arial"/>
                    <w:kern w:val="0"/>
                    <w:sz w:val="20"/>
                    <w:szCs w:val="20"/>
                    <w:lang w:val="de-DE" w:eastAsia="en-US" w:bidi="ar-SA"/>
                  </w:rPr>
                </w:r>
                <w:r>
                  <w:rPr>
                    <w:rFonts w:eastAsia="Source Sans Pro" w:cs="Arial"/>
                    <w:kern w:val="0"/>
                    <w:sz w:val="20"/>
                    <w:szCs w:val="20"/>
                    <w:lang w:val="de-DE" w:eastAsia="en-US" w:bidi="ar-SA"/>
                  </w:rPr>
                  <w:t>Sach- u. Personalaufwand</w:t>
                </w:r>
              </w:sdtContent>
            </w:sdt>
          </w:p>
        </w:tc>
        <w:tc>
          <w:tcPr>
            <w:tcW w:w="6792" w:type="dxa"/>
            <w:tcBorders>
              <w:top w:val="single" w:sz="4" w:space="0" w:color="D9D9D9"/>
              <w:start w:val="single" w:sz="4" w:space="0" w:color="D9D9D9"/>
              <w:bottom w:val="single" w:sz="4" w:space="0" w:color="D9D9D9"/>
              <w:end w:val="single" w:sz="4" w:space="0" w:color="808080"/>
            </w:tcBorders>
          </w:tcPr>
          <w:p>
            <w:pPr>
              <w:pStyle w:val="Normal"/>
              <w:widowControl/>
              <w:spacing w:before="0" w:after="0"/>
              <w:jc w:val="start"/>
              <w:rPr>
                <w:rStyle w:val="Formatvorlage9"/>
                <w:rFonts w:ascii="Source Sans Pro" w:hAnsi="Source Sans Pro" w:asciiTheme="minorHAnsi" w:hAnsiTheme="minorHAnsi"/>
              </w:rPr>
            </w:pPr>
            <w:r>
              <w:rPr>
                <w:rStyle w:val="Formatvorlage9"/>
                <w:rFonts w:eastAsia="Source Sans Pro" w:cs="Arial"/>
                <w:kern w:val="0"/>
                <w:szCs w:val="22"/>
                <w:lang w:val="de-DE" w:eastAsia="en-US" w:bidi="ar-SA"/>
              </w:rPr>
              <w:t>Personalkosten IO für Planung, Konzeption und Durchführung der Kampagne, Kosten für die externen Dienstleistungen und Beschaffungen (Sachmittel Videoproduktion, Anzeigenschaltung, Studiengangsprofile und monatliches Budget für Ads online)</w:t>
            </w:r>
          </w:p>
        </w:tc>
      </w:tr>
      <w:tr>
        <w:trPr>
          <w:trHeight w:val="397" w:hRule="atLeast"/>
        </w:trPr>
        <w:tc>
          <w:tcPr>
            <w:tcW w:w="2562" w:type="dxa"/>
            <w:tcBorders>
              <w:top w:val="single" w:sz="4" w:space="0" w:color="D9D9D9"/>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before="0" w:after="0"/>
              <w:jc w:val="start"/>
              <w:rPr>
                <w:sz w:val="20"/>
              </w:rPr>
            </w:pPr>
            <w:sdt>
              <w:sdtPr>
                <w:placeholder>
                  <w:docPart w:val="D8A29497A99349A6A4CD36AE368BB233"/>
                </w:placeholder>
                <w:id w:val="288331132"/>
                <w:lock w:val="contentLocked"/>
                <w:text/>
              </w:sdtPr>
              <w:sdtContent>
                <w:r>
                  <w:rPr>
                    <w:rFonts w:eastAsia="Source Sans Pro" w:cs="Arial"/>
                    <w:kern w:val="0"/>
                    <w:sz w:val="20"/>
                    <w:szCs w:val="22"/>
                    <w:lang w:val="de-DE" w:eastAsia="en-US" w:bidi="ar-SA"/>
                  </w:rPr>
                </w:r>
                <w:r>
                  <w:rPr>
                    <w:rFonts w:eastAsia="Source Sans Pro" w:cs="Arial"/>
                    <w:kern w:val="0"/>
                    <w:sz w:val="20"/>
                    <w:szCs w:val="22"/>
                    <w:lang w:val="de-DE" w:eastAsia="en-US" w:bidi="ar-SA"/>
                  </w:rPr>
                  <w:t>Zeitraum</w:t>
                </w:r>
              </w:sdtContent>
            </w:sdt>
          </w:p>
        </w:tc>
        <w:tc>
          <w:tcPr>
            <w:tcW w:w="6792" w:type="dxa"/>
            <w:tcBorders>
              <w:top w:val="single" w:sz="4" w:space="0" w:color="D9D9D9"/>
              <w:start w:val="single" w:sz="4" w:space="0" w:color="D9D9D9"/>
              <w:bottom w:val="single" w:sz="4" w:space="0" w:color="D9D9D9"/>
              <w:end w:val="single" w:sz="4" w:space="0" w:color="808080"/>
            </w:tcBorders>
          </w:tcPr>
          <w:p>
            <w:pPr>
              <w:pStyle w:val="Normal"/>
              <w:widowControl/>
              <w:spacing w:before="0" w:after="0"/>
              <w:jc w:val="start"/>
              <w:rPr>
                <w:rStyle w:val="Formatvorlage9"/>
                <w:rFonts w:ascii="Source Sans Pro" w:hAnsi="Source Sans Pro" w:asciiTheme="minorHAnsi" w:hAnsiTheme="minorHAnsi"/>
              </w:rPr>
            </w:pPr>
            <w:r>
              <w:rPr>
                <w:rStyle w:val="Formatvorlage9"/>
                <w:rFonts w:eastAsia="Source Sans Pro" w:cs="Arial"/>
                <w:kern w:val="0"/>
                <w:szCs w:val="22"/>
                <w:lang w:val="de-DE" w:eastAsia="en-US" w:bidi="ar-SA"/>
              </w:rPr>
              <w:t>Durchgehend, 01.06.2026-31.12.2029</w:t>
            </w:r>
          </w:p>
        </w:tc>
      </w:tr>
      <w:tr>
        <w:trPr>
          <w:trHeight w:val="397" w:hRule="atLeast"/>
        </w:trPr>
        <w:tc>
          <w:tcPr>
            <w:tcW w:w="2562" w:type="dxa"/>
            <w:tcBorders>
              <w:top w:val="single" w:sz="4" w:space="0" w:color="D9D9D9"/>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0"/>
              <w:jc w:val="start"/>
              <w:rPr>
                <w:b/>
                <w:sz w:val="20"/>
              </w:rPr>
            </w:pPr>
            <w:sdt>
              <w:sdtPr>
                <w:placeholder>
                  <w:docPart w:val="26DBEA6B53264FC781C6A835E6BAB305"/>
                </w:placeholder>
                <w:id w:val="-1308466840"/>
                <w:lock w:val="contentLocked"/>
                <w:text/>
              </w:sdtPr>
              <w:sdtContent>
                <w:r>
                  <w:rPr>
                    <w:rFonts w:eastAsia="Source Sans Pro" w:cs="Arial"/>
                    <w:b/>
                    <w:kern w:val="0"/>
                    <w:sz w:val="20"/>
                    <w:szCs w:val="22"/>
                    <w:lang w:val="de-DE" w:eastAsia="en-US" w:bidi="ar-SA"/>
                  </w:rPr>
                </w:r>
                <w:r>
                  <w:rPr>
                    <w:rFonts w:eastAsia="Source Sans Pro" w:cs="Arial"/>
                    <w:b/>
                    <w:kern w:val="0"/>
                    <w:sz w:val="20"/>
                    <w:szCs w:val="22"/>
                    <w:lang w:val="de-DE" w:eastAsia="en-US" w:bidi="ar-SA"/>
                  </w:rPr>
                  <w:t>Maßnahme/Aktivität 3</w:t>
                </w:r>
              </w:sdtContent>
            </w:sdt>
          </w:p>
        </w:tc>
        <w:tc>
          <w:tcPr>
            <w:tcW w:w="6792" w:type="dxa"/>
            <w:tcBorders>
              <w:top w:val="single" w:sz="4" w:space="0" w:color="D9D9D9"/>
              <w:start w:val="single" w:sz="4" w:space="0" w:color="D9D9D9"/>
              <w:bottom w:val="single" w:sz="4" w:space="0" w:color="D9D9D9"/>
              <w:end w:val="single" w:sz="4" w:space="0" w:color="808080"/>
            </w:tcBorders>
          </w:tcPr>
          <w:p>
            <w:pPr>
              <w:pStyle w:val="Normal"/>
              <w:widowControl/>
              <w:spacing w:lineRule="auto" w:line="259" w:before="0" w:after="0"/>
              <w:jc w:val="start"/>
              <w:rPr>
                <w:b/>
                <w:sz w:val="20"/>
              </w:rPr>
            </w:pPr>
            <w:r>
              <w:rPr>
                <w:rFonts w:eastAsia="Source Sans Pro" w:cs="Arial"/>
                <w:b/>
                <w:kern w:val="0"/>
                <w:sz w:val="20"/>
                <w:szCs w:val="22"/>
                <w:lang w:val="de-DE" w:eastAsia="en-US" w:bidi="ar-SA"/>
              </w:rPr>
              <w:t>Digital-Prep-Angebote</w:t>
            </w:r>
          </w:p>
        </w:tc>
      </w:tr>
      <w:tr>
        <w:trPr>
          <w:trHeight w:val="397" w:hRule="atLeast"/>
        </w:trPr>
        <w:tc>
          <w:tcPr>
            <w:tcW w:w="2562" w:type="dxa"/>
            <w:tcBorders>
              <w:top w:val="single" w:sz="4" w:space="0" w:color="D9D9D9"/>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before="0" w:after="0"/>
              <w:jc w:val="start"/>
              <w:rPr>
                <w:rFonts w:ascii="Arial" w:hAnsi="Arial"/>
                <w:sz w:val="20"/>
              </w:rPr>
            </w:pPr>
            <w:r>
              <w:rPr>
                <w:rFonts w:eastAsia="Source Sans Pro" w:cs="Arial" w:ascii="Source Sans Pro" w:hAnsi="Source Sans Pro"/>
                <w:kern w:val="0"/>
                <w:sz w:val="20"/>
                <w:szCs w:val="20"/>
                <w:shd w:fill="F2F2F2" w:val="clear"/>
                <w:lang w:val="de-DE" w:eastAsia="en-US" w:bidi="ar-SA"/>
              </w:rPr>
              <w:t>Bitte ordnen Sie die Maßnahme/Aktivität einem Baustein des Programms zu.</w:t>
            </w:r>
          </w:p>
        </w:tc>
        <w:tc>
          <w:tcPr>
            <w:tcW w:w="6792" w:type="dxa"/>
            <w:tcBorders>
              <w:top w:val="single" w:sz="4" w:space="0" w:color="D9D9D9"/>
              <w:start w:val="single" w:sz="4" w:space="0" w:color="D9D9D9"/>
              <w:bottom w:val="single" w:sz="4" w:space="0" w:color="D9D9D9"/>
              <w:end w:val="single" w:sz="4" w:space="0" w:color="808080"/>
            </w:tcBorders>
          </w:tcPr>
          <w:p>
            <w:pPr>
              <w:pStyle w:val="Normal"/>
              <w:widowControl/>
              <w:spacing w:before="0" w:after="0"/>
              <w:jc w:val="start"/>
              <w:rPr>
                <w:rStyle w:val="Formatvorlage9"/>
                <w:rFonts w:ascii="Source Sans Pro" w:hAnsi="Source Sans Pro" w:asciiTheme="minorHAnsi" w:hAnsiTheme="minorHAnsi"/>
                <w:szCs w:val="20"/>
              </w:rPr>
            </w:pPr>
            <w:sdt>
              <w:sdtPr>
                <w:alias w:val=""/>
                <w:dropDownList w:lastValue="2">
                  <w:listItem w:value="Wählen Sie einen Baustein aus." w:displayText="Wählen Sie einen Baustein aus."/>
                  <w:listItem w:value="Baustein 1: Recruiting" w:displayText="Baustein 1: Recruiting"/>
                  <w:listItem w:value="Baustein 2: Oboarding" w:displayText="Baustein 2: Oboarding"/>
                  <w:listItem w:value="Baustein 3: Career" w:displayText="Baustein 3: Career"/>
                </w:dropDownList>
              </w:sdtPr>
              <w:sdtContent>
                <w:r>
                  <w:rPr>
                    <w:rFonts w:eastAsia="Source Sans Pro" w:cs="Arial"/>
                    <w:kern w:val="0"/>
                    <w:szCs w:val="22"/>
                    <w:lang w:val="de-DE" w:eastAsia="en-US" w:bidi="ar-SA"/>
                  </w:rPr>
                </w:r>
                <w:r>
                  <w:t>Baustein 2: Oboarding</w:t>
                </w:r>
              </w:sdtContent>
            </w:sdt>
          </w:p>
        </w:tc>
      </w:tr>
      <w:tr>
        <w:trPr>
          <w:trHeight w:val="397" w:hRule="atLeast"/>
        </w:trPr>
        <w:tc>
          <w:tcPr>
            <w:tcW w:w="2562" w:type="dxa"/>
            <w:tcBorders>
              <w:top w:val="single" w:sz="4" w:space="0" w:color="D9D9D9"/>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0"/>
              <w:jc w:val="start"/>
              <w:rPr>
                <w:sz w:val="20"/>
              </w:rPr>
            </w:pPr>
            <w:sdt>
              <w:sdtPr>
                <w:placeholder>
                  <w:docPart w:val="D7016AC40FDC4893A61373E00130299F"/>
                </w:placeholder>
                <w:id w:val="1356694589"/>
                <w:lock w:val="contentLocked"/>
              </w:sdtPr>
              <w:sdtContent>
                <w:r>
                  <w:rPr>
                    <w:rFonts w:eastAsia="Source Sans Pro" w:cs="Arial"/>
                    <w:kern w:val="0"/>
                    <w:sz w:val="20"/>
                    <w:szCs w:val="22"/>
                    <w:lang w:val="de-DE" w:eastAsia="en-US" w:bidi="ar-SA"/>
                  </w:rPr>
                </w:r>
                <w:r>
                  <w:rPr>
                    <w:rFonts w:eastAsia="Source Sans Pro" w:cs="Arial"/>
                    <w:kern w:val="0"/>
                    <w:sz w:val="20"/>
                    <w:szCs w:val="22"/>
                    <w:lang w:val="de-DE" w:eastAsia="en-US" w:bidi="ar-SA"/>
                  </w:rPr>
                  <w:t>Inhaltliche Beschreibung</w:t>
                </w:r>
              </w:sdtContent>
            </w:sdt>
          </w:p>
        </w:tc>
        <w:tc>
          <w:tcPr>
            <w:tcW w:w="6792" w:type="dxa"/>
            <w:tcBorders>
              <w:top w:val="single" w:sz="4" w:space="0" w:color="D9D9D9"/>
              <w:start w:val="single" w:sz="4" w:space="0" w:color="D9D9D9"/>
              <w:bottom w:val="single" w:sz="4" w:space="0" w:color="D9D9D9"/>
              <w:end w:val="single" w:sz="4" w:space="0" w:color="808080"/>
            </w:tcBorders>
          </w:tcPr>
          <w:p>
            <w:pPr>
              <w:pStyle w:val="Normal"/>
              <w:widowControl/>
              <w:spacing w:lineRule="auto" w:line="259" w:before="0" w:after="0"/>
              <w:jc w:val="start"/>
              <w:rPr>
                <w:sz w:val="20"/>
                <w:szCs w:val="20"/>
              </w:rPr>
            </w:pPr>
            <w:r>
              <w:rPr>
                <w:rFonts w:eastAsia="Source Sans Pro" w:cs="Arial"/>
                <w:kern w:val="0"/>
                <w:sz w:val="20"/>
                <w:szCs w:val="20"/>
                <w:lang w:val="de-DE" w:eastAsia="en-US" w:bidi="ar-SA"/>
              </w:rPr>
              <w:t>Konzeption und Durchführung der Digital-Prep-Angebote:</w:t>
            </w:r>
          </w:p>
          <w:p>
            <w:pPr>
              <w:pStyle w:val="ListParagraph"/>
              <w:widowControl/>
              <w:numPr>
                <w:ilvl w:val="0"/>
                <w:numId w:val="6"/>
              </w:numPr>
              <w:spacing w:lineRule="auto" w:line="259" w:before="0" w:after="120"/>
              <w:contextualSpacing/>
              <w:jc w:val="both"/>
              <w:rPr>
                <w:sz w:val="20"/>
              </w:rPr>
            </w:pPr>
            <w:r>
              <w:rPr>
                <w:rFonts w:eastAsia="Source Sans Pro" w:cs="Arial"/>
                <w:kern w:val="0"/>
                <w:sz w:val="20"/>
                <w:szCs w:val="22"/>
                <w:lang w:val="de-DE" w:eastAsia="en-US" w:bidi="ar-SA"/>
              </w:rPr>
              <w:t>thematische Online-Module zu KI und Sensorsystemen (ETI), Publikations-Workshop (HYT)</w:t>
            </w:r>
          </w:p>
          <w:p>
            <w:pPr>
              <w:pStyle w:val="ListParagraph"/>
              <w:widowControl/>
              <w:numPr>
                <w:ilvl w:val="0"/>
                <w:numId w:val="6"/>
              </w:numPr>
              <w:spacing w:lineRule="auto" w:line="259" w:before="0" w:after="120"/>
              <w:contextualSpacing/>
              <w:jc w:val="both"/>
              <w:rPr>
                <w:sz w:val="20"/>
              </w:rPr>
            </w:pPr>
            <w:r>
              <w:rPr>
                <w:rFonts w:eastAsia="Source Sans Pro" w:cs="Arial"/>
                <w:kern w:val="0"/>
                <w:sz w:val="20"/>
                <w:szCs w:val="22"/>
                <w:lang w:val="de-DE" w:eastAsia="en-US" w:bidi="ar-SA"/>
              </w:rPr>
              <w:t>Einführung in deutsche Lehr-, Lern- und Prüfungskulturen (ETI &amp; IO)</w:t>
            </w:r>
          </w:p>
          <w:p>
            <w:pPr>
              <w:pStyle w:val="ListParagraph"/>
              <w:widowControl/>
              <w:numPr>
                <w:ilvl w:val="0"/>
                <w:numId w:val="6"/>
              </w:numPr>
              <w:spacing w:lineRule="auto" w:line="259" w:before="0" w:after="120"/>
              <w:contextualSpacing/>
              <w:jc w:val="both"/>
              <w:rPr>
                <w:sz w:val="20"/>
              </w:rPr>
            </w:pPr>
            <w:r>
              <w:rPr>
                <w:rFonts w:eastAsia="Source Sans Pro" w:cs="Arial"/>
                <w:kern w:val="0"/>
                <w:sz w:val="20"/>
                <w:szCs w:val="22"/>
                <w:lang w:val="de-DE" w:eastAsia="en-US" w:bidi="ar-SA"/>
              </w:rPr>
              <w:t>Digitale Informations- und Beratungsangebote zu Bewerbung, Zulassung, Studienorganisation und administrativen Abläufen (IO)</w:t>
            </w:r>
          </w:p>
          <w:p>
            <w:pPr>
              <w:pStyle w:val="ListParagraph"/>
              <w:widowControl/>
              <w:numPr>
                <w:ilvl w:val="0"/>
                <w:numId w:val="6"/>
              </w:numPr>
              <w:spacing w:lineRule="auto" w:line="259" w:before="0" w:after="0"/>
              <w:contextualSpacing/>
              <w:jc w:val="both"/>
              <w:rPr>
                <w:sz w:val="20"/>
              </w:rPr>
            </w:pPr>
            <w:r>
              <w:rPr>
                <w:rFonts w:eastAsia="Source Sans Pro" w:cs="Arial"/>
                <w:kern w:val="0"/>
                <w:sz w:val="20"/>
                <w:szCs w:val="22"/>
                <w:lang w:val="de-DE" w:eastAsia="en-US" w:bidi="ar-SA"/>
              </w:rPr>
              <w:t>Moderierte Austauschformate mit Lehrenden und Forschenden (ETI &amp; IO)</w:t>
            </w:r>
          </w:p>
          <w:p>
            <w:pPr>
              <w:pStyle w:val="Normal"/>
              <w:widowControl/>
              <w:spacing w:lineRule="auto" w:line="259" w:before="0" w:after="0"/>
              <w:jc w:val="start"/>
              <w:rPr>
                <w:sz w:val="20"/>
                <w:szCs w:val="20"/>
              </w:rPr>
            </w:pPr>
            <w:r>
              <w:rPr>
                <w:rFonts w:eastAsia="Source Sans Pro" w:cs="Arial"/>
                <w:kern w:val="0"/>
                <w:sz w:val="20"/>
                <w:szCs w:val="20"/>
                <w:lang w:val="de-DE" w:eastAsia="en-US" w:bidi="ar-SA"/>
              </w:rPr>
            </w:r>
          </w:p>
        </w:tc>
      </w:tr>
      <w:tr>
        <w:trPr>
          <w:trHeight w:val="397" w:hRule="atLeast"/>
        </w:trPr>
        <w:tc>
          <w:tcPr>
            <w:tcW w:w="2562" w:type="dxa"/>
            <w:tcBorders>
              <w:top w:val="single" w:sz="4" w:space="0" w:color="D9D9D9"/>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0"/>
              <w:jc w:val="start"/>
              <w:rPr>
                <w:sz w:val="20"/>
              </w:rPr>
            </w:pPr>
            <w:sdt>
              <w:sdtPr>
                <w:placeholder>
                  <w:docPart w:val="DefaultPlaceholder_-1854013440"/>
                </w:placeholder>
                <w:id w:val="578021446"/>
                <w:lock w:val="contentLocked"/>
                <w:text/>
              </w:sdtPr>
              <w:sdtContent>
                <w:r>
                  <w:rPr>
                    <w:rFonts w:eastAsia="Source Sans Pro" w:cs="Arial"/>
                    <w:kern w:val="0"/>
                    <w:sz w:val="20"/>
                    <w:szCs w:val="20"/>
                    <w:lang w:val="de-DE" w:eastAsia="en-US" w:bidi="ar-SA"/>
                  </w:rPr>
                </w:r>
                <w:r>
                  <w:rPr>
                    <w:rFonts w:eastAsia="Source Sans Pro" w:cs="Arial"/>
                    <w:kern w:val="0"/>
                    <w:sz w:val="20"/>
                    <w:szCs w:val="20"/>
                    <w:lang w:val="de-DE" w:eastAsia="en-US" w:bidi="ar-SA"/>
                  </w:rPr>
                  <w:t>Sach- u. Personalaufwand</w:t>
                </w:r>
              </w:sdtContent>
            </w:sdt>
          </w:p>
        </w:tc>
        <w:tc>
          <w:tcPr>
            <w:tcW w:w="6792" w:type="dxa"/>
            <w:tcBorders>
              <w:top w:val="single" w:sz="4" w:space="0" w:color="D9D9D9"/>
              <w:start w:val="single" w:sz="4" w:space="0" w:color="D9D9D9"/>
              <w:bottom w:val="single" w:sz="4" w:space="0" w:color="D9D9D9"/>
              <w:end w:val="single" w:sz="4" w:space="0" w:color="808080"/>
            </w:tcBorders>
          </w:tcPr>
          <w:p>
            <w:pPr>
              <w:pStyle w:val="Normal"/>
              <w:widowControl/>
              <w:spacing w:lineRule="auto" w:line="259" w:before="0" w:after="0"/>
              <w:jc w:val="start"/>
              <w:rPr>
                <w:sz w:val="20"/>
                <w:szCs w:val="20"/>
              </w:rPr>
            </w:pPr>
            <w:r>
              <w:rPr>
                <w:rFonts w:eastAsia="Source Sans Pro" w:cs="Arial"/>
                <w:kern w:val="0"/>
                <w:sz w:val="20"/>
                <w:szCs w:val="20"/>
                <w:lang w:val="de-DE" w:eastAsia="en-US" w:bidi="ar-SA"/>
              </w:rPr>
              <w:t>Personalkosten ETI, wiss. MitarbeiterIn konzipiert und führt die fachlichen Digital-Prep-Elemente durch,</w:t>
            </w:r>
          </w:p>
          <w:p>
            <w:pPr>
              <w:pStyle w:val="Normal"/>
              <w:widowControl/>
              <w:spacing w:lineRule="auto" w:line="259" w:before="0" w:after="0"/>
              <w:jc w:val="start"/>
              <w:rPr>
                <w:sz w:val="20"/>
              </w:rPr>
            </w:pPr>
            <w:r>
              <w:rPr>
                <w:rFonts w:eastAsia="Source Sans Pro" w:cs="Arial"/>
                <w:kern w:val="0"/>
                <w:sz w:val="20"/>
                <w:szCs w:val="20"/>
                <w:lang w:val="de-DE" w:eastAsia="en-US" w:bidi="ar-SA"/>
              </w:rPr>
              <w:t>Personalkosten IO, Mitarbeiterin konzipiert und führt die administrativen und integrativen Angebote und plant die Organisation aller Angebote</w:t>
            </w:r>
          </w:p>
        </w:tc>
      </w:tr>
      <w:tr>
        <w:trPr>
          <w:trHeight w:val="397" w:hRule="atLeast"/>
        </w:trPr>
        <w:tc>
          <w:tcPr>
            <w:tcW w:w="2562" w:type="dxa"/>
            <w:tcBorders>
              <w:top w:val="single" w:sz="4" w:space="0" w:color="D9D9D9"/>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before="0" w:after="0"/>
              <w:jc w:val="start"/>
              <w:rPr>
                <w:sz w:val="20"/>
              </w:rPr>
            </w:pPr>
            <w:sdt>
              <w:sdtPr>
                <w:placeholder>
                  <w:docPart w:val="38EBBB321CF140C79234F5667D71F1AF"/>
                </w:placeholder>
                <w:id w:val="-1708319652"/>
                <w:lock w:val="contentLocked"/>
                <w:text/>
              </w:sdtPr>
              <w:sdtContent>
                <w:r>
                  <w:rPr>
                    <w:rFonts w:eastAsia="Source Sans Pro" w:cs="Arial"/>
                    <w:kern w:val="0"/>
                    <w:sz w:val="20"/>
                    <w:szCs w:val="22"/>
                    <w:lang w:val="de-DE" w:eastAsia="en-US" w:bidi="ar-SA"/>
                  </w:rPr>
                </w:r>
                <w:r>
                  <w:rPr>
                    <w:rFonts w:eastAsia="Source Sans Pro" w:cs="Arial"/>
                    <w:kern w:val="0"/>
                    <w:sz w:val="20"/>
                    <w:szCs w:val="22"/>
                    <w:lang w:val="de-DE" w:eastAsia="en-US" w:bidi="ar-SA"/>
                  </w:rPr>
                  <w:t>Zeitraum</w:t>
                </w:r>
              </w:sdtContent>
            </w:sdt>
          </w:p>
        </w:tc>
        <w:tc>
          <w:tcPr>
            <w:tcW w:w="6792" w:type="dxa"/>
            <w:tcBorders>
              <w:top w:val="single" w:sz="4" w:space="0" w:color="D9D9D9"/>
              <w:start w:val="single" w:sz="4" w:space="0" w:color="D9D9D9"/>
              <w:bottom w:val="single" w:sz="4" w:space="0" w:color="D9D9D9"/>
              <w:end w:val="single" w:sz="4" w:space="0" w:color="808080"/>
            </w:tcBorders>
          </w:tcPr>
          <w:p>
            <w:pPr>
              <w:pStyle w:val="Normal"/>
              <w:widowControl/>
              <w:spacing w:before="0" w:after="0"/>
              <w:jc w:val="start"/>
              <w:rPr>
                <w:rStyle w:val="Formatvorlage9"/>
                <w:rFonts w:ascii="Source Sans Pro" w:hAnsi="Source Sans Pro" w:asciiTheme="minorHAnsi" w:hAnsiTheme="minorHAnsi"/>
              </w:rPr>
            </w:pPr>
            <w:r>
              <w:rPr>
                <w:rStyle w:val="Formatvorlage9"/>
                <w:rFonts w:eastAsia="Source Sans Pro" w:cs="Arial"/>
                <w:kern w:val="0"/>
                <w:szCs w:val="22"/>
                <w:lang w:val="de-DE" w:eastAsia="en-US" w:bidi="ar-SA"/>
              </w:rPr>
              <w:t>Konzipierung in 2026, Durchführung 2026-2029</w:t>
            </w:r>
          </w:p>
        </w:tc>
      </w:tr>
      <w:tr>
        <w:trPr>
          <w:trHeight w:val="397" w:hRule="atLeast"/>
        </w:trPr>
        <w:tc>
          <w:tcPr>
            <w:tcW w:w="2562" w:type="dxa"/>
            <w:tcBorders>
              <w:top w:val="single" w:sz="4" w:space="0" w:color="D9D9D9"/>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0"/>
              <w:jc w:val="start"/>
              <w:rPr>
                <w:b/>
                <w:sz w:val="20"/>
              </w:rPr>
            </w:pPr>
            <w:sdt>
              <w:sdtPr>
                <w:placeholder>
                  <w:docPart w:val="042E988409D9432D842FD4CE2C3929E7"/>
                </w:placeholder>
                <w:id w:val="-207409228"/>
                <w:lock w:val="contentLocked"/>
                <w:text/>
              </w:sdtPr>
              <w:sdtContent>
                <w:r>
                  <w:rPr>
                    <w:rFonts w:eastAsia="Source Sans Pro" w:cs="Arial"/>
                    <w:b/>
                    <w:kern w:val="0"/>
                    <w:sz w:val="20"/>
                    <w:szCs w:val="22"/>
                    <w:lang w:val="de-DE" w:eastAsia="en-US" w:bidi="ar-SA"/>
                  </w:rPr>
                </w:r>
                <w:r>
                  <w:rPr>
                    <w:rFonts w:eastAsia="Source Sans Pro" w:cs="Arial"/>
                    <w:b/>
                    <w:kern w:val="0"/>
                    <w:sz w:val="20"/>
                    <w:szCs w:val="22"/>
                    <w:lang w:val="de-DE" w:eastAsia="en-US" w:bidi="ar-SA"/>
                  </w:rPr>
                  <w:t>Maßnahme/Aktivität 4</w:t>
                </w:r>
              </w:sdtContent>
            </w:sdt>
          </w:p>
        </w:tc>
        <w:tc>
          <w:tcPr>
            <w:tcW w:w="6792" w:type="dxa"/>
            <w:tcBorders>
              <w:top w:val="single" w:sz="4" w:space="0" w:color="D9D9D9"/>
              <w:start w:val="single" w:sz="4" w:space="0" w:color="D9D9D9"/>
              <w:bottom w:val="single" w:sz="4" w:space="0" w:color="D9D9D9"/>
              <w:end w:val="single" w:sz="4" w:space="0" w:color="808080"/>
            </w:tcBorders>
          </w:tcPr>
          <w:p>
            <w:pPr>
              <w:pStyle w:val="Normal"/>
              <w:widowControl/>
              <w:spacing w:lineRule="auto" w:line="259" w:before="0" w:after="0"/>
              <w:jc w:val="start"/>
              <w:rPr>
                <w:b/>
                <w:sz w:val="20"/>
              </w:rPr>
            </w:pPr>
            <w:r>
              <w:rPr>
                <w:rFonts w:eastAsia="Source Sans Pro" w:cs="Arial"/>
                <w:b/>
                <w:kern w:val="0"/>
                <w:sz w:val="20"/>
                <w:szCs w:val="22"/>
                <w:lang w:val="de-DE" w:eastAsia="en-US" w:bidi="ar-SA"/>
              </w:rPr>
              <w:t>Forschun</w:t>
            </w:r>
            <w:r>
              <w:rPr>
                <w:rFonts w:eastAsia="Source Sans Pro" w:cs="Arial"/>
                <w:b/>
                <w:kern w:val="0"/>
                <w:sz w:val="20"/>
                <w:szCs w:val="20"/>
                <w:lang w:val="de-DE" w:eastAsia="en-US" w:bidi="ar-SA"/>
              </w:rPr>
              <w:t>gsnahe Summer School</w:t>
            </w:r>
          </w:p>
        </w:tc>
      </w:tr>
      <w:tr>
        <w:trPr>
          <w:trHeight w:val="397" w:hRule="atLeast"/>
        </w:trPr>
        <w:tc>
          <w:tcPr>
            <w:tcW w:w="2562" w:type="dxa"/>
            <w:tcBorders>
              <w:top w:val="single" w:sz="4" w:space="0" w:color="D9D9D9"/>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before="0" w:after="0"/>
              <w:jc w:val="start"/>
              <w:rPr>
                <w:rFonts w:ascii="Arial" w:hAnsi="Arial"/>
                <w:sz w:val="20"/>
              </w:rPr>
            </w:pPr>
            <w:r>
              <w:rPr>
                <w:rFonts w:eastAsia="Source Sans Pro" w:cs="Arial" w:ascii="Source Sans Pro" w:hAnsi="Source Sans Pro"/>
                <w:kern w:val="0"/>
                <w:sz w:val="20"/>
                <w:szCs w:val="20"/>
                <w:shd w:fill="F2F2F2" w:val="clear"/>
                <w:lang w:val="de-DE" w:eastAsia="en-US" w:bidi="ar-SA"/>
              </w:rPr>
              <w:t>Bitte ordnen Sie die Maßnahme/Aktivität einem Baustein des Programms zu.</w:t>
            </w:r>
          </w:p>
        </w:tc>
        <w:tc>
          <w:tcPr>
            <w:tcW w:w="6792" w:type="dxa"/>
            <w:tcBorders>
              <w:top w:val="single" w:sz="4" w:space="0" w:color="D9D9D9"/>
              <w:start w:val="single" w:sz="4" w:space="0" w:color="D9D9D9"/>
              <w:bottom w:val="single" w:sz="4" w:space="0" w:color="D9D9D9"/>
              <w:end w:val="single" w:sz="4" w:space="0" w:color="808080"/>
            </w:tcBorders>
          </w:tcPr>
          <w:p>
            <w:pPr>
              <w:pStyle w:val="Normal"/>
              <w:widowControl/>
              <w:spacing w:before="0" w:after="0"/>
              <w:jc w:val="start"/>
              <w:rPr>
                <w:rStyle w:val="Formatvorlage9"/>
                <w:rFonts w:ascii="Source Sans Pro" w:hAnsi="Source Sans Pro" w:asciiTheme="minorHAnsi" w:hAnsiTheme="minorHAnsi"/>
                <w:szCs w:val="20"/>
              </w:rPr>
            </w:pPr>
            <w:sdt>
              <w:sdtPr>
                <w:alias w:val=""/>
                <w:dropDownList w:lastValue="2">
                  <w:listItem w:value="Wählen Sie einen Baustein aus." w:displayText="Wählen Sie einen Baustein aus."/>
                  <w:listItem w:value="Baustein 1: Recruiting" w:displayText="Baustein 1: Recruiting"/>
                  <w:listItem w:value="Baustein 2: Oboarding" w:displayText="Baustein 2: Oboarding"/>
                  <w:listItem w:value="Baustein 3: Career" w:displayText="Baustein 3: Career"/>
                </w:dropDownList>
              </w:sdtPr>
              <w:sdtContent>
                <w:r>
                  <w:rPr>
                    <w:rFonts w:eastAsia="Source Sans Pro" w:cs="Arial"/>
                    <w:kern w:val="0"/>
                    <w:szCs w:val="22"/>
                    <w:lang w:val="de-DE" w:eastAsia="en-US" w:bidi="ar-SA"/>
                  </w:rPr>
                </w:r>
                <w:r>
                  <w:t>Baustein 2: Oboarding</w:t>
                </w:r>
              </w:sdtContent>
            </w:sdt>
          </w:p>
        </w:tc>
      </w:tr>
      <w:tr>
        <w:trPr>
          <w:trHeight w:val="397" w:hRule="atLeast"/>
        </w:trPr>
        <w:tc>
          <w:tcPr>
            <w:tcW w:w="2562" w:type="dxa"/>
            <w:tcBorders>
              <w:top w:val="single" w:sz="4" w:space="0" w:color="D9D9D9"/>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0"/>
              <w:jc w:val="start"/>
              <w:rPr>
                <w:sz w:val="20"/>
              </w:rPr>
            </w:pPr>
            <w:sdt>
              <w:sdtPr>
                <w:placeholder>
                  <w:docPart w:val="1775BE49C8DD4396A422748595AB4323"/>
                </w:placeholder>
                <w:id w:val="-1538580317"/>
                <w:lock w:val="contentLocked"/>
              </w:sdtPr>
              <w:sdtContent>
                <w:r>
                  <w:rPr>
                    <w:rFonts w:eastAsia="Source Sans Pro" w:cs="Arial"/>
                    <w:kern w:val="0"/>
                    <w:sz w:val="20"/>
                    <w:szCs w:val="22"/>
                    <w:lang w:val="de-DE" w:eastAsia="en-US" w:bidi="ar-SA"/>
                  </w:rPr>
                </w:r>
                <w:r>
                  <w:rPr>
                    <w:rFonts w:eastAsia="Source Sans Pro" w:cs="Arial"/>
                    <w:kern w:val="0"/>
                    <w:sz w:val="20"/>
                    <w:szCs w:val="22"/>
                    <w:lang w:val="de-DE" w:eastAsia="en-US" w:bidi="ar-SA"/>
                  </w:rPr>
                  <w:t>Inhaltliche Beschreibung</w:t>
                </w:r>
              </w:sdtContent>
            </w:sdt>
          </w:p>
        </w:tc>
        <w:tc>
          <w:tcPr>
            <w:tcW w:w="6792" w:type="dxa"/>
            <w:tcBorders>
              <w:top w:val="single" w:sz="4" w:space="0" w:color="D9D9D9"/>
              <w:start w:val="single" w:sz="4" w:space="0" w:color="D9D9D9"/>
              <w:bottom w:val="single" w:sz="4" w:space="0" w:color="D9D9D9"/>
              <w:end w:val="single" w:sz="4" w:space="0" w:color="808080"/>
            </w:tcBorders>
          </w:tcPr>
          <w:p>
            <w:pPr>
              <w:pStyle w:val="Normal"/>
              <w:widowControl/>
              <w:spacing w:lineRule="auto" w:line="259" w:before="0" w:after="0"/>
              <w:jc w:val="start"/>
              <w:rPr>
                <w:sz w:val="20"/>
              </w:rPr>
            </w:pPr>
            <w:r>
              <w:rPr>
                <w:rFonts w:eastAsia="Source Sans Pro" w:cs="Arial"/>
                <w:kern w:val="0"/>
                <w:sz w:val="20"/>
                <w:szCs w:val="22"/>
                <w:lang w:val="de-DE" w:eastAsia="en-US" w:bidi="ar-SA"/>
              </w:rPr>
              <w:t>Konzeption und Durchführung einer forschungsnahen Summer School in Siegen. Das Programm entsteht in Kooperation von ETI, ZESS und IO und wird an das jährliche ZESS Research Forum angedockt. Ziel des 14-tägigen Formats sind Einblicke in die projektbasierte Teamarbeit, Laborbesuche, Forschungsdemonstratoren und gezielte Networking-Formate sowie ein Kulturprogramm am Wochenende.</w:t>
            </w:r>
          </w:p>
        </w:tc>
      </w:tr>
      <w:tr>
        <w:trPr>
          <w:trHeight w:val="397" w:hRule="atLeast"/>
        </w:trPr>
        <w:tc>
          <w:tcPr>
            <w:tcW w:w="2562" w:type="dxa"/>
            <w:tcBorders>
              <w:top w:val="single" w:sz="4" w:space="0" w:color="D9D9D9"/>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0"/>
              <w:jc w:val="start"/>
              <w:rPr>
                <w:sz w:val="20"/>
              </w:rPr>
            </w:pPr>
            <w:sdt>
              <w:sdtPr>
                <w:placeholder>
                  <w:docPart w:val="DefaultPlaceholder_-1854013440"/>
                </w:placeholder>
                <w:id w:val="369426447"/>
                <w:lock w:val="contentLocked"/>
                <w:text/>
              </w:sdtPr>
              <w:sdtContent>
                <w:r>
                  <w:rPr>
                    <w:rFonts w:eastAsia="Source Sans Pro" w:cs="Arial"/>
                    <w:kern w:val="0"/>
                    <w:sz w:val="20"/>
                    <w:szCs w:val="20"/>
                    <w:lang w:val="de-DE" w:eastAsia="en-US" w:bidi="ar-SA"/>
                  </w:rPr>
                </w:r>
                <w:r>
                  <w:rPr>
                    <w:rFonts w:eastAsia="Source Sans Pro" w:cs="Arial"/>
                    <w:kern w:val="0"/>
                    <w:sz w:val="20"/>
                    <w:szCs w:val="20"/>
                    <w:lang w:val="de-DE" w:eastAsia="en-US" w:bidi="ar-SA"/>
                  </w:rPr>
                  <w:t>Sach- u. Personalaufwand</w:t>
                </w:r>
              </w:sdtContent>
            </w:sdt>
          </w:p>
        </w:tc>
        <w:tc>
          <w:tcPr>
            <w:tcW w:w="6792" w:type="dxa"/>
            <w:tcBorders>
              <w:top w:val="single" w:sz="4" w:space="0" w:color="D9D9D9"/>
              <w:start w:val="single" w:sz="4" w:space="0" w:color="D9D9D9"/>
              <w:bottom w:val="single" w:sz="4" w:space="0" w:color="D9D9D9"/>
              <w:end w:val="single" w:sz="4" w:space="0" w:color="808080"/>
            </w:tcBorders>
          </w:tcPr>
          <w:p>
            <w:pPr>
              <w:pStyle w:val="Normal"/>
              <w:widowControl/>
              <w:spacing w:lineRule="auto" w:line="259" w:before="0" w:after="0"/>
              <w:jc w:val="start"/>
              <w:rPr>
                <w:sz w:val="20"/>
              </w:rPr>
            </w:pPr>
            <w:r>
              <w:rPr>
                <w:rFonts w:eastAsia="Source Sans Pro" w:cs="Arial"/>
                <w:kern w:val="0"/>
                <w:sz w:val="20"/>
                <w:szCs w:val="22"/>
                <w:lang w:val="de-DE" w:eastAsia="en-US" w:bidi="ar-SA"/>
              </w:rPr>
              <w:t>Personalkosten ETI und IO für Konzeption und Durchführung (Planung und Begleitung), Kosten für Mobilität und Aufenthalt der 15 geförderten Bachelor-Studierenden, Sachmittel für Welcome und Farewell Dinner, Bewirtung der Netzwerk-Formate (Junior meets Senior, Alumni Stories), Bustransfer vom Flughafen nach Siegen und zurück, Kosten für fachlichen Gastvortrag (Honorar, ggf. Reisekosten)</w:t>
            </w:r>
          </w:p>
        </w:tc>
      </w:tr>
      <w:tr>
        <w:trPr>
          <w:trHeight w:val="397" w:hRule="atLeast"/>
        </w:trPr>
        <w:tc>
          <w:tcPr>
            <w:tcW w:w="2562" w:type="dxa"/>
            <w:tcBorders>
              <w:top w:val="single" w:sz="4" w:space="0" w:color="D9D9D9"/>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before="0" w:after="0"/>
              <w:jc w:val="start"/>
              <w:rPr>
                <w:sz w:val="20"/>
              </w:rPr>
            </w:pPr>
            <w:sdt>
              <w:sdtPr>
                <w:placeholder>
                  <w:docPart w:val="7365820FFC1D48E681F5AFD4D8B9A942"/>
                </w:placeholder>
                <w:id w:val="-1083450612"/>
                <w:lock w:val="contentLocked"/>
                <w:text/>
              </w:sdtPr>
              <w:sdtContent>
                <w:r>
                  <w:rPr>
                    <w:rFonts w:eastAsia="Source Sans Pro" w:cs="Arial"/>
                    <w:kern w:val="0"/>
                    <w:sz w:val="20"/>
                    <w:szCs w:val="22"/>
                    <w:lang w:val="de-DE" w:eastAsia="en-US" w:bidi="ar-SA"/>
                  </w:rPr>
                </w:r>
                <w:r>
                  <w:rPr>
                    <w:rFonts w:eastAsia="Source Sans Pro" w:cs="Arial"/>
                    <w:kern w:val="0"/>
                    <w:sz w:val="20"/>
                    <w:szCs w:val="22"/>
                    <w:lang w:val="de-DE" w:eastAsia="en-US" w:bidi="ar-SA"/>
                  </w:rPr>
                  <w:t>Zeitraum</w:t>
                </w:r>
              </w:sdtContent>
            </w:sdt>
          </w:p>
        </w:tc>
        <w:tc>
          <w:tcPr>
            <w:tcW w:w="6792" w:type="dxa"/>
            <w:tcBorders>
              <w:top w:val="single" w:sz="4" w:space="0" w:color="D9D9D9"/>
              <w:start w:val="single" w:sz="4" w:space="0" w:color="D9D9D9"/>
              <w:bottom w:val="single" w:sz="4" w:space="0" w:color="D9D9D9"/>
              <w:end w:val="single" w:sz="4" w:space="0" w:color="808080"/>
            </w:tcBorders>
          </w:tcPr>
          <w:p>
            <w:pPr>
              <w:pStyle w:val="Normal"/>
              <w:widowControl/>
              <w:spacing w:before="0" w:after="0"/>
              <w:jc w:val="start"/>
              <w:rPr>
                <w:rStyle w:val="Formatvorlage9"/>
                <w:rFonts w:ascii="Source Sans Pro" w:hAnsi="Source Sans Pro" w:asciiTheme="minorHAnsi" w:hAnsiTheme="minorHAnsi"/>
              </w:rPr>
            </w:pPr>
            <w:r>
              <w:rPr>
                <w:rStyle w:val="Formatvorlage9"/>
                <w:rFonts w:eastAsia="Source Sans Pro" w:cs="Arial"/>
                <w:kern w:val="0"/>
                <w:szCs w:val="22"/>
                <w:lang w:val="de-DE" w:eastAsia="en-US" w:bidi="ar-SA"/>
              </w:rPr>
              <w:t>Juni/Juli 2027, Juni/Juli 2028, Juni/ Juli 2029</w:t>
            </w:r>
          </w:p>
        </w:tc>
      </w:tr>
      <w:tr>
        <w:trPr>
          <w:trHeight w:val="397" w:hRule="atLeast"/>
        </w:trPr>
        <w:tc>
          <w:tcPr>
            <w:tcW w:w="2562" w:type="dxa"/>
            <w:tcBorders>
              <w:top w:val="single" w:sz="4" w:space="0" w:color="D9D9D9"/>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0"/>
              <w:jc w:val="start"/>
              <w:rPr>
                <w:b/>
                <w:sz w:val="20"/>
              </w:rPr>
            </w:pPr>
            <w:sdt>
              <w:sdtPr>
                <w:placeholder>
                  <w:docPart w:val="7A40360496354759A80E4594E8426D03"/>
                </w:placeholder>
                <w:id w:val="-1764528450"/>
                <w:lock w:val="contentLocked"/>
                <w:text/>
              </w:sdtPr>
              <w:sdtContent>
                <w:r>
                  <w:rPr>
                    <w:rFonts w:eastAsia="Source Sans Pro" w:cs="Arial"/>
                    <w:b/>
                    <w:kern w:val="0"/>
                    <w:sz w:val="20"/>
                    <w:szCs w:val="22"/>
                    <w:lang w:val="de-DE" w:eastAsia="en-US" w:bidi="ar-SA"/>
                  </w:rPr>
                </w:r>
                <w:r>
                  <w:rPr>
                    <w:rFonts w:eastAsia="Source Sans Pro" w:cs="Arial"/>
                    <w:b/>
                    <w:kern w:val="0"/>
                    <w:sz w:val="20"/>
                    <w:szCs w:val="22"/>
                    <w:lang w:val="de-DE" w:eastAsia="en-US" w:bidi="ar-SA"/>
                  </w:rPr>
                  <w:t>Maßnahme/Aktivität 5</w:t>
                </w:r>
              </w:sdtContent>
            </w:sdt>
          </w:p>
        </w:tc>
        <w:tc>
          <w:tcPr>
            <w:tcW w:w="6792" w:type="dxa"/>
            <w:tcBorders>
              <w:top w:val="single" w:sz="4" w:space="0" w:color="D9D9D9"/>
              <w:start w:val="single" w:sz="4" w:space="0" w:color="D9D9D9"/>
              <w:bottom w:val="single" w:sz="4" w:space="0" w:color="D9D9D9"/>
              <w:end w:val="single" w:sz="4" w:space="0" w:color="808080"/>
            </w:tcBorders>
          </w:tcPr>
          <w:p>
            <w:pPr>
              <w:pStyle w:val="Normal"/>
              <w:widowControl/>
              <w:spacing w:lineRule="auto" w:line="259" w:before="0" w:after="0"/>
              <w:jc w:val="start"/>
              <w:rPr>
                <w:b/>
                <w:sz w:val="20"/>
              </w:rPr>
            </w:pPr>
            <w:r>
              <w:rPr>
                <w:rFonts w:eastAsia="Source Sans Pro" w:cs="Arial"/>
                <w:b/>
                <w:kern w:val="0"/>
                <w:sz w:val="20"/>
                <w:szCs w:val="22"/>
                <w:lang w:val="de-DE" w:eastAsia="en-US" w:bidi="ar-SA"/>
              </w:rPr>
            </w:r>
          </w:p>
        </w:tc>
      </w:tr>
      <w:tr>
        <w:trPr>
          <w:trHeight w:val="397" w:hRule="atLeast"/>
        </w:trPr>
        <w:tc>
          <w:tcPr>
            <w:tcW w:w="2562" w:type="dxa"/>
            <w:tcBorders>
              <w:top w:val="single" w:sz="4" w:space="0" w:color="D9D9D9"/>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before="0" w:after="0"/>
              <w:jc w:val="start"/>
              <w:rPr>
                <w:rFonts w:ascii="Arial" w:hAnsi="Arial"/>
                <w:sz w:val="20"/>
              </w:rPr>
            </w:pPr>
            <w:r>
              <w:rPr>
                <w:rFonts w:eastAsia="Source Sans Pro" w:cs="Arial" w:ascii="Source Sans Pro" w:hAnsi="Source Sans Pro"/>
                <w:kern w:val="0"/>
                <w:sz w:val="20"/>
                <w:szCs w:val="20"/>
                <w:shd w:fill="F2F2F2" w:val="clear"/>
                <w:lang w:val="de-DE" w:eastAsia="en-US" w:bidi="ar-SA"/>
              </w:rPr>
              <w:t>Bitte ordnen Sie die Maßnahme/Aktivität einem Baustein des Programms zu.</w:t>
            </w:r>
          </w:p>
        </w:tc>
        <w:tc>
          <w:tcPr>
            <w:tcW w:w="6792" w:type="dxa"/>
            <w:tcBorders>
              <w:top w:val="single" w:sz="4" w:space="0" w:color="D9D9D9"/>
              <w:start w:val="single" w:sz="4" w:space="0" w:color="D9D9D9"/>
              <w:bottom w:val="single" w:sz="4" w:space="0" w:color="D9D9D9"/>
              <w:end w:val="single" w:sz="4" w:space="0" w:color="808080"/>
            </w:tcBorders>
          </w:tcPr>
          <w:p>
            <w:pPr>
              <w:pStyle w:val="Normal"/>
              <w:widowControl/>
              <w:spacing w:before="0" w:after="0"/>
              <w:jc w:val="start"/>
              <w:rPr>
                <w:rStyle w:val="Formatvorlage9"/>
                <w:rFonts w:ascii="Source Sans Pro" w:hAnsi="Source Sans Pro" w:asciiTheme="minorHAnsi" w:hAnsiTheme="minorHAnsi"/>
                <w:szCs w:val="20"/>
              </w:rPr>
            </w:pPr>
            <w:sdt>
              <w:sdtPr>
                <w:alias w:val=""/>
                <w:dropDownList w:lastValue="0">
                  <w:listItem w:value="Wählen Sie einen Baustein aus." w:displayText="Wählen Sie einen Baustein aus."/>
                  <w:listItem w:value="Baustein 1: Recruiting" w:displayText="Baustein 1: Recruiting"/>
                  <w:listItem w:value="Baustein 2: Oboarding" w:displayText="Baustein 2: Oboarding"/>
                  <w:listItem w:value="Baustein 3: Career" w:displayText="Baustein 3: Career"/>
                </w:dropDownList>
              </w:sdtPr>
              <w:sdtContent>
                <w:r>
                  <w:rPr>
                    <w:rFonts w:eastAsia="Source Sans Pro" w:cs="Arial"/>
                    <w:kern w:val="0"/>
                    <w:szCs w:val="22"/>
                    <w:lang w:val="de-DE" w:eastAsia="en-US" w:bidi="ar-SA"/>
                  </w:rPr>
                </w:r>
                <w:r>
                  <w:t>Wählen Sie einen Baustein aus.</w:t>
                </w:r>
              </w:sdtContent>
            </w:sdt>
          </w:p>
        </w:tc>
      </w:tr>
      <w:tr>
        <w:trPr>
          <w:trHeight w:val="397" w:hRule="atLeast"/>
        </w:trPr>
        <w:tc>
          <w:tcPr>
            <w:tcW w:w="2562" w:type="dxa"/>
            <w:tcBorders>
              <w:top w:val="single" w:sz="4" w:space="0" w:color="D9D9D9"/>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0"/>
              <w:jc w:val="start"/>
              <w:rPr>
                <w:sz w:val="20"/>
              </w:rPr>
            </w:pPr>
            <w:sdt>
              <w:sdtPr>
                <w:placeholder>
                  <w:docPart w:val="EE45F8BD742D441FA76AA5915100CA67"/>
                </w:placeholder>
                <w:id w:val="-403456197"/>
                <w:lock w:val="contentLocked"/>
              </w:sdtPr>
              <w:sdtContent>
                <w:r>
                  <w:rPr>
                    <w:rFonts w:eastAsia="Source Sans Pro" w:cs="Arial"/>
                    <w:kern w:val="0"/>
                    <w:sz w:val="20"/>
                    <w:szCs w:val="22"/>
                    <w:lang w:val="de-DE" w:eastAsia="en-US" w:bidi="ar-SA"/>
                  </w:rPr>
                </w:r>
                <w:r>
                  <w:rPr>
                    <w:rFonts w:eastAsia="Source Sans Pro" w:cs="Arial"/>
                    <w:kern w:val="0"/>
                    <w:sz w:val="20"/>
                    <w:szCs w:val="22"/>
                    <w:lang w:val="de-DE" w:eastAsia="en-US" w:bidi="ar-SA"/>
                  </w:rPr>
                  <w:t>Inhaltliche Beschreibung</w:t>
                </w:r>
              </w:sdtContent>
            </w:sdt>
          </w:p>
        </w:tc>
        <w:tc>
          <w:tcPr>
            <w:tcW w:w="6792" w:type="dxa"/>
            <w:tcBorders>
              <w:top w:val="single" w:sz="4" w:space="0" w:color="D9D9D9"/>
              <w:start w:val="single" w:sz="4" w:space="0" w:color="D9D9D9"/>
              <w:bottom w:val="single" w:sz="4" w:space="0" w:color="D9D9D9"/>
              <w:end w:val="single" w:sz="4" w:space="0" w:color="808080"/>
            </w:tcBorders>
          </w:tcPr>
          <w:p>
            <w:pPr>
              <w:pStyle w:val="Normal"/>
              <w:widowControl/>
              <w:spacing w:lineRule="auto" w:line="259" w:before="0" w:after="0"/>
              <w:jc w:val="start"/>
              <w:rPr>
                <w:sz w:val="20"/>
              </w:rPr>
            </w:pPr>
            <w:r>
              <w:rPr>
                <w:rFonts w:eastAsia="Source Sans Pro" w:cs="Arial"/>
                <w:kern w:val="0"/>
                <w:sz w:val="20"/>
                <w:szCs w:val="22"/>
                <w:lang w:val="de-DE" w:eastAsia="en-US" w:bidi="ar-SA"/>
              </w:rPr>
            </w:r>
          </w:p>
        </w:tc>
      </w:tr>
      <w:tr>
        <w:trPr>
          <w:trHeight w:val="397" w:hRule="atLeast"/>
        </w:trPr>
        <w:tc>
          <w:tcPr>
            <w:tcW w:w="2562" w:type="dxa"/>
            <w:tcBorders>
              <w:top w:val="single" w:sz="4" w:space="0" w:color="D9D9D9"/>
              <w:start w:val="single" w:sz="4" w:space="0" w:color="808080"/>
              <w:bottom w:val="single" w:sz="4" w:space="0" w:color="D9D9D9"/>
              <w:end w:val="single" w:sz="4" w:space="0" w:color="D9D9D9"/>
            </w:tcBorders>
            <w:shd w:color="auto" w:fill="F2F2F2" w:themeFill="background1" w:themeFillShade="f2" w:val="clear"/>
            <w:vAlign w:val="center"/>
          </w:tcPr>
          <w:p>
            <w:pPr>
              <w:pStyle w:val="Normal"/>
              <w:widowControl/>
              <w:spacing w:lineRule="auto" w:line="259" w:before="0" w:after="0"/>
              <w:jc w:val="start"/>
              <w:rPr>
                <w:sz w:val="20"/>
              </w:rPr>
            </w:pPr>
            <w:sdt>
              <w:sdtPr>
                <w:placeholder>
                  <w:docPart w:val="DefaultPlaceholder_-1854013440"/>
                </w:placeholder>
                <w:id w:val="1430845122"/>
                <w:lock w:val="contentLocked"/>
                <w:text/>
              </w:sdtPr>
              <w:sdtContent>
                <w:r>
                  <w:rPr>
                    <w:rFonts w:eastAsia="Source Sans Pro" w:cs="Arial"/>
                    <w:kern w:val="0"/>
                    <w:sz w:val="20"/>
                    <w:szCs w:val="20"/>
                    <w:lang w:val="de-DE" w:eastAsia="en-US" w:bidi="ar-SA"/>
                  </w:rPr>
                </w:r>
                <w:r>
                  <w:rPr>
                    <w:rFonts w:eastAsia="Source Sans Pro" w:cs="Arial"/>
                    <w:kern w:val="0"/>
                    <w:sz w:val="20"/>
                    <w:szCs w:val="20"/>
                    <w:lang w:val="de-DE" w:eastAsia="en-US" w:bidi="ar-SA"/>
                  </w:rPr>
                  <w:t>Sach- u. Personalaufwand</w:t>
                </w:r>
              </w:sdtContent>
            </w:sdt>
          </w:p>
        </w:tc>
        <w:tc>
          <w:tcPr>
            <w:tcW w:w="6792" w:type="dxa"/>
            <w:tcBorders>
              <w:top w:val="single" w:sz="4" w:space="0" w:color="D9D9D9"/>
              <w:start w:val="single" w:sz="4" w:space="0" w:color="D9D9D9"/>
              <w:bottom w:val="single" w:sz="4" w:space="0" w:color="D9D9D9"/>
              <w:end w:val="single" w:sz="4" w:space="0" w:color="808080"/>
            </w:tcBorders>
          </w:tcPr>
          <w:p>
            <w:pPr>
              <w:pStyle w:val="Normal"/>
              <w:widowControl/>
              <w:spacing w:lineRule="auto" w:line="259" w:before="0" w:after="0"/>
              <w:jc w:val="start"/>
              <w:rPr>
                <w:sz w:val="20"/>
              </w:rPr>
            </w:pPr>
            <w:r>
              <w:rPr>
                <w:rFonts w:eastAsia="Source Sans Pro" w:cs="Arial"/>
                <w:kern w:val="0"/>
                <w:sz w:val="20"/>
                <w:szCs w:val="22"/>
                <w:lang w:val="de-DE" w:eastAsia="en-US" w:bidi="ar-SA"/>
              </w:rPr>
            </w:r>
          </w:p>
        </w:tc>
      </w:tr>
      <w:tr>
        <w:trPr>
          <w:trHeight w:val="397" w:hRule="atLeast"/>
        </w:trPr>
        <w:tc>
          <w:tcPr>
            <w:tcW w:w="2562" w:type="dxa"/>
            <w:tcBorders>
              <w:top w:val="single" w:sz="4" w:space="0" w:color="D9D9D9"/>
              <w:start w:val="single" w:sz="4" w:space="0" w:color="808080"/>
              <w:bottom w:val="single" w:sz="4" w:space="0" w:color="808080"/>
              <w:end w:val="single" w:sz="4" w:space="0" w:color="D9D9D9"/>
            </w:tcBorders>
            <w:shd w:color="auto" w:fill="F2F2F2" w:themeFill="background1" w:themeFillShade="f2" w:val="clear"/>
            <w:vAlign w:val="center"/>
          </w:tcPr>
          <w:p>
            <w:pPr>
              <w:pStyle w:val="Normal"/>
              <w:widowControl/>
              <w:spacing w:before="0" w:after="0"/>
              <w:jc w:val="start"/>
              <w:rPr>
                <w:sz w:val="20"/>
              </w:rPr>
            </w:pPr>
            <w:sdt>
              <w:sdtPr>
                <w:placeholder>
                  <w:docPart w:val="78821C39377F4B53B03916E9BF89112F"/>
                </w:placeholder>
                <w:id w:val="-1055770972"/>
                <w:lock w:val="contentLocked"/>
                <w:text/>
              </w:sdtPr>
              <w:sdtContent>
                <w:r>
                  <w:rPr>
                    <w:rFonts w:eastAsia="Source Sans Pro" w:cs="Arial"/>
                    <w:kern w:val="0"/>
                    <w:sz w:val="20"/>
                    <w:szCs w:val="22"/>
                    <w:lang w:val="de-DE" w:eastAsia="en-US" w:bidi="ar-SA"/>
                  </w:rPr>
                </w:r>
                <w:r>
                  <w:rPr>
                    <w:rFonts w:eastAsia="Source Sans Pro" w:cs="Arial"/>
                    <w:kern w:val="0"/>
                    <w:sz w:val="20"/>
                    <w:szCs w:val="22"/>
                    <w:lang w:val="de-DE" w:eastAsia="en-US" w:bidi="ar-SA"/>
                  </w:rPr>
                  <w:t>Zeitraum</w:t>
                </w:r>
              </w:sdtContent>
            </w:sdt>
          </w:p>
        </w:tc>
        <w:tc>
          <w:tcPr>
            <w:tcW w:w="6792" w:type="dxa"/>
            <w:tcBorders>
              <w:top w:val="single" w:sz="4" w:space="0" w:color="D9D9D9"/>
              <w:start w:val="single" w:sz="4" w:space="0" w:color="D9D9D9"/>
              <w:bottom w:val="single" w:sz="4" w:space="0" w:color="808080"/>
              <w:end w:val="single" w:sz="4" w:space="0" w:color="808080"/>
            </w:tcBorders>
          </w:tcPr>
          <w:p>
            <w:pPr>
              <w:pStyle w:val="Normal"/>
              <w:widowControl/>
              <w:spacing w:before="0" w:after="0"/>
              <w:jc w:val="start"/>
              <w:rPr>
                <w:rStyle w:val="Formatvorlage9"/>
                <w:rFonts w:ascii="Source Sans Pro" w:hAnsi="Source Sans Pro" w:asciiTheme="minorHAnsi" w:hAnsiTheme="minorHAnsi"/>
              </w:rPr>
            </w:pPr>
            <w:r>
              <w:rPr>
                <w:rFonts w:eastAsia="Source Sans Pro" w:cs="Arial"/>
                <w:kern w:val="0"/>
                <w:szCs w:val="22"/>
                <w:lang w:val="de-DE" w:eastAsia="en-US" w:bidi="ar-SA"/>
              </w:rPr>
            </w:r>
          </w:p>
        </w:tc>
      </w:tr>
    </w:tbl>
    <w:p>
      <w:pPr>
        <w:pStyle w:val="Normal"/>
        <w:spacing w:before="0" w:after="0"/>
        <w:rPr>
          <w:rFonts w:ascii="Source Sans Pro" w:hAnsi="Source Sans Pro" w:cs="Arial"/>
          <w:bCs/>
          <w:color w:val="FF0000"/>
          <w:sz w:val="18"/>
          <w:szCs w:val="18"/>
        </w:rPr>
      </w:pPr>
      <w:r>
        <w:rPr>
          <w:rFonts w:cs="Arial" w:ascii="Source Sans Pro" w:hAnsi="Source Sans Pro"/>
          <w:bCs/>
          <w:color w:val="FF0000"/>
          <w:sz w:val="18"/>
          <w:szCs w:val="18"/>
        </w:rPr>
      </w:r>
    </w:p>
    <w:tbl>
      <w:tblPr>
        <w:tblStyle w:val="TableGrid"/>
        <w:tblW w:w="5000" w:type="pct"/>
        <w:jc w:val="start"/>
        <w:tblInd w:w="-5" w:type="dxa"/>
        <w:tblLayout w:type="fixed"/>
        <w:tblCellMar>
          <w:top w:w="0" w:type="dxa"/>
          <w:start w:w="108" w:type="dxa"/>
          <w:bottom w:w="0" w:type="dxa"/>
          <w:end w:w="108" w:type="dxa"/>
        </w:tblCellMar>
        <w:tblLook w:val="04a0" w:noHBand="0" w:noVBand="1" w:firstColumn="1" w:lastRow="0" w:lastColumn="0" w:firstRow="1"/>
      </w:tblPr>
      <w:tblGrid>
        <w:gridCol w:w="9354"/>
      </w:tblGrid>
      <w:tr>
        <w:trPr>
          <w:trHeight w:val="397" w:hRule="atLeast"/>
        </w:trPr>
        <w:tc>
          <w:tcPr>
            <w:tcW w:w="9354" w:type="dxa"/>
            <w:tcBorders>
              <w:top w:val="single" w:sz="4" w:space="0" w:color="808080"/>
              <w:start w:val="single" w:sz="4" w:space="0" w:color="808080"/>
              <w:bottom w:val="single" w:sz="2" w:space="0" w:color="808080"/>
              <w:end w:val="single" w:sz="4" w:space="0" w:color="808080"/>
            </w:tcBorders>
            <w:shd w:color="auto" w:fill="D9D9D9" w:themeFill="background1" w:themeFillShade="d9" w:val="clear"/>
            <w:vAlign w:val="center"/>
          </w:tcPr>
          <w:sdt>
            <w:sdtPr>
              <w:id w:val="667209274"/>
              <w:placeholder>
                <w:docPart w:val="DefaultPlaceholder_-1854013440"/>
              </w:placeholder>
              <w:lock w:val="contentLocked"/>
            </w:sdtPr>
            <w:sdtContent>
              <w:p>
                <w:pPr>
                  <w:pStyle w:val="Normal"/>
                  <w:widowControl/>
                  <w:spacing w:lineRule="auto" w:line="259" w:before="0" w:after="0"/>
                  <w:jc w:val="start"/>
                  <w:rPr>
                    <w:rFonts w:ascii="Arial" w:hAnsi="Arial" w:eastAsia="Times New Roman"/>
                    <w:sz w:val="20"/>
                    <w:szCs w:val="20"/>
                    <w:lang w:eastAsia="de-DE"/>
                  </w:rPr>
                </w:pPr>
                <w:r>
                  <w:rPr>
                    <w:rFonts w:eastAsia="Source Sans Pro" w:cs="Arial" w:ascii="Source Sans Pro" w:hAnsi="Source Sans Pro"/>
                    <w:b/>
                    <w:kern w:val="0"/>
                    <w:sz w:val="20"/>
                    <w:szCs w:val="22"/>
                    <w:lang w:val="de-DE" w:eastAsia="en-US" w:bidi="ar-SA"/>
                  </w:rPr>
                  <w:t>Nicht zu belegende Einnahmen/Ausgaben</w:t>
                </w:r>
              </w:p>
            </w:sdtContent>
          </w:sdt>
        </w:tc>
      </w:tr>
      <w:tr>
        <w:trPr>
          <w:trHeight w:val="397" w:hRule="atLeast"/>
        </w:trPr>
        <w:tc>
          <w:tcPr>
            <w:tcW w:w="9354" w:type="dxa"/>
            <w:tcBorders>
              <w:top w:val="single" w:sz="2" w:space="0" w:color="808080"/>
              <w:start w:val="single" w:sz="4" w:space="0" w:color="808080"/>
              <w:bottom w:val="single" w:sz="2" w:space="0" w:color="808080"/>
              <w:end w:val="single" w:sz="4" w:space="0" w:color="808080"/>
            </w:tcBorders>
            <w:shd w:color="auto" w:fill="F2F2F2" w:themeFill="background1" w:themeFillShade="f2" w:val="clear"/>
            <w:vAlign w:val="center"/>
          </w:tcPr>
          <w:sdt>
            <w:sdtPr>
              <w:id w:val="-362521932"/>
              <w:placeholder>
                <w:docPart w:val="DefaultPlaceholder_-1854013440"/>
              </w:placeholder>
              <w:lock w:val="contentLocked"/>
            </w:sdtPr>
            <w:sdtContent>
              <w:p>
                <w:pPr>
                  <w:pStyle w:val="Normal"/>
                  <w:widowControl/>
                  <w:spacing w:before="0" w:after="120"/>
                  <w:jc w:val="start"/>
                  <w:rPr>
                    <w:bCs/>
                    <w:sz w:val="20"/>
                  </w:rPr>
                </w:pPr>
                <w:r>
                  <w:rPr>
                    <w:rFonts w:eastAsia="Source Sans Pro" w:cs="Arial"/>
                    <w:bCs/>
                    <w:kern w:val="0"/>
                    <w:sz w:val="20"/>
                    <w:szCs w:val="22"/>
                    <w:lang w:val="de-DE" w:eastAsia="en-US" w:bidi="ar-SA"/>
                  </w:rPr>
                  <w:t>Wenn im Finanzierungsplan nicht zu belegende Einnahmen/Ausgaben (z.B. (Stamm)personal, Infrastruktur) eingetragen werden, sind diese hier plausibel dazustellen.</w:t>
                </w:r>
                <w:r>
                  <w:rPr>
                    <w:rFonts w:eastAsia="Source Sans Pro" w:cs="Arial"/>
                    <w:bCs/>
                    <w:kern w:val="0"/>
                    <w:sz w:val="20"/>
                    <w:szCs w:val="20"/>
                    <w:lang w:val="de-DE" w:eastAsia="en-US" w:bidi="ar-SA"/>
                  </w:rPr>
                  <w:t xml:space="preserve"> </w:t>
                </w:r>
              </w:p>
            </w:sdtContent>
          </w:sdt>
        </w:tc>
      </w:tr>
      <w:tr>
        <w:trPr>
          <w:trHeight w:val="397" w:hRule="atLeast"/>
        </w:trPr>
        <w:tc>
          <w:tcPr>
            <w:tcW w:w="9354" w:type="dxa"/>
            <w:tcBorders>
              <w:top w:val="single" w:sz="2" w:space="0" w:color="808080"/>
              <w:start w:val="single" w:sz="4" w:space="0" w:color="808080"/>
              <w:bottom w:val="single" w:sz="4" w:space="0" w:color="808080"/>
              <w:end w:val="single" w:sz="4" w:space="0" w:color="808080"/>
            </w:tcBorders>
          </w:tcPr>
          <w:p>
            <w:pPr>
              <w:pStyle w:val="Normal"/>
              <w:widowControl/>
              <w:spacing w:lineRule="auto" w:line="259" w:before="0" w:after="0"/>
              <w:jc w:val="both"/>
              <w:rPr>
                <w:rStyle w:val="Formatvorlage4"/>
                <w:szCs w:val="20"/>
              </w:rPr>
            </w:pPr>
            <w:r>
              <w:rPr>
                <w:rStyle w:val="Formatvorlage4"/>
                <w:rFonts w:eastAsia="Source Sans Pro" w:cs="Arial"/>
                <w:kern w:val="0"/>
                <w:szCs w:val="20"/>
                <w:lang w:val="de-DE" w:eastAsia="en-US" w:bidi="ar-SA"/>
              </w:rPr>
              <w:t>Einnahmen für das Projekt werden nicht erwartet, da für die Summer School, die (virtuellen) Formate in Digital Prep keine Teilnahmegebühren erhoben werden.</w:t>
            </w:r>
          </w:p>
          <w:p>
            <w:pPr>
              <w:pStyle w:val="Normal"/>
              <w:widowControl/>
              <w:spacing w:lineRule="auto" w:line="259" w:before="0" w:after="0"/>
              <w:jc w:val="both"/>
              <w:rPr>
                <w:rStyle w:val="Formatvorlage4"/>
                <w:rFonts w:cs="" w:cstheme="minorBidi"/>
                <w:szCs w:val="20"/>
              </w:rPr>
            </w:pPr>
            <w:r>
              <w:rPr>
                <w:rFonts w:eastAsia="Source Sans Pro" w:cs="" w:cstheme="minorBidi"/>
                <w:kern w:val="0"/>
                <w:szCs w:val="20"/>
                <w:lang w:val="de-DE" w:eastAsia="en-US" w:bidi="ar-SA"/>
              </w:rPr>
            </w:r>
          </w:p>
          <w:p>
            <w:pPr>
              <w:pStyle w:val="Normal"/>
              <w:widowControl/>
              <w:spacing w:lineRule="auto" w:line="259" w:before="0" w:after="0"/>
              <w:jc w:val="both"/>
              <w:rPr>
                <w:rStyle w:val="Formatvorlage4"/>
                <w:rFonts w:cs="" w:cstheme="minorBidi"/>
                <w:szCs w:val="20"/>
              </w:rPr>
            </w:pPr>
            <w:r>
              <w:rPr>
                <w:rStyle w:val="Formatvorlage4"/>
                <w:rFonts w:eastAsia="Source Sans Pro" w:cs="Arial"/>
                <w:kern w:val="0"/>
                <w:szCs w:val="20"/>
                <w:lang w:val="de-DE" w:eastAsia="en-US" w:bidi="ar-SA"/>
              </w:rPr>
              <w:t xml:space="preserve">In den am Projekt beteiligten Einrichtungen werden die (aus den Haushaltsmitteln der Universität finanzierten) Lehrstuhlinhaber im Department Elektrotechnik und Informatik (ETI) und ausgesuchte Führungskräfte Zeitressourcen für die Projektarbeit zur Verfügung stellen. Konkret sind dies der </w:t>
            </w:r>
            <w:r>
              <w:rPr>
                <w:rFonts w:eastAsia="Source Sans Pro" w:cs="Arial"/>
                <w:kern w:val="0"/>
                <w:sz w:val="20"/>
                <w:szCs w:val="20"/>
                <w:lang w:val="de-DE" w:eastAsia="en-US" w:bidi="ar-SA"/>
              </w:rPr>
              <w:t>Lehrstuhl für Ubiquitous Computing (Prof. Dr. van Laerhoven fungiert als Projektleitung und bringt 4 Std/ Woche in das Projekt ein), der Lehrstuhl für Computer Vision (Prof. Dr. Michael Möller mit 2 Std/ Woche), der Lehrstuhl für Analoge Schaltungstechnik (Prof. Dr. Bhaskar Choubey mit 2 Std./Woche) sowie die Leitungen des House of Young Talents (HYT) und des International Offices (IO) mit jeweils 2 Std./ Woche.</w:t>
            </w:r>
          </w:p>
          <w:p>
            <w:pPr>
              <w:pStyle w:val="Normal"/>
              <w:widowControl/>
              <w:spacing w:lineRule="auto" w:line="259" w:before="0" w:after="0"/>
              <w:jc w:val="both"/>
              <w:rPr>
                <w:rStyle w:val="Formatvorlage4"/>
                <w:rFonts w:cs="" w:cstheme="minorBidi"/>
                <w:szCs w:val="20"/>
              </w:rPr>
            </w:pPr>
            <w:r>
              <w:rPr>
                <w:rStyle w:val="Formatvorlage4"/>
                <w:rFonts w:eastAsia="Source Sans Pro" w:cs="Arial"/>
                <w:kern w:val="0"/>
                <w:szCs w:val="20"/>
                <w:lang w:val="de-DE" w:eastAsia="en-US" w:bidi="ar-SA"/>
              </w:rPr>
              <w:t>Darüber hinaus wird das ZESS bis zu zwei Stipendien an neu eingeschriebene internationale Masterstudierende vergeben (je 992 EUR /Monat für je 6 Monate). Des Weiteren werden Kosten in Höhe von 2.000 EUR p.a. für die Teilnahmen an (Rekrutierungs-)Messe von der Universität finanziert.</w:t>
            </w:r>
          </w:p>
          <w:p>
            <w:pPr>
              <w:pStyle w:val="Normal"/>
              <w:widowControl/>
              <w:spacing w:lineRule="auto" w:line="259" w:before="0" w:after="0"/>
              <w:jc w:val="start"/>
              <w:rPr>
                <w:rStyle w:val="Formatvorlage4"/>
                <w:szCs w:val="20"/>
              </w:rPr>
            </w:pPr>
            <w:r>
              <w:rPr>
                <w:rStyle w:val="Formatvorlage4"/>
                <w:rFonts w:eastAsia="Source Sans Pro" w:cs="Arial"/>
                <w:kern w:val="0"/>
                <w:szCs w:val="20"/>
                <w:lang w:val="de-DE" w:eastAsia="en-US" w:bidi="ar-SA"/>
              </w:rPr>
              <w:t xml:space="preserve">  </w:t>
            </w:r>
          </w:p>
          <w:p>
            <w:pPr>
              <w:pStyle w:val="Normal"/>
              <w:widowControl/>
              <w:spacing w:lineRule="auto" w:line="259" w:before="0" w:after="120"/>
              <w:jc w:val="start"/>
              <w:rPr>
                <w:sz w:val="20"/>
                <w:szCs w:val="20"/>
              </w:rPr>
            </w:pPr>
            <w:r>
              <w:rPr>
                <w:rFonts w:eastAsia="Source Sans Pro" w:cs="Arial"/>
                <w:kern w:val="0"/>
                <w:sz w:val="20"/>
                <w:szCs w:val="20"/>
                <w:lang w:val="de-DE" w:eastAsia="en-US" w:bidi="ar-SA"/>
              </w:rPr>
            </w:r>
          </w:p>
        </w:tc>
      </w:tr>
    </w:tbl>
    <w:p>
      <w:pPr>
        <w:pStyle w:val="Normal"/>
        <w:spacing w:before="0" w:after="0"/>
        <w:rPr>
          <w:rFonts w:ascii="Source Sans Pro" w:hAnsi="Source Sans Pro" w:cs="Arial"/>
          <w:bCs/>
          <w:color w:val="FF0000"/>
          <w:sz w:val="18"/>
          <w:szCs w:val="18"/>
        </w:rPr>
      </w:pPr>
      <w:r>
        <w:rPr>
          <w:rFonts w:cs="Arial" w:ascii="Source Sans Pro" w:hAnsi="Source Sans Pro"/>
          <w:bCs/>
          <w:color w:val="FF0000"/>
          <w:sz w:val="18"/>
          <w:szCs w:val="18"/>
        </w:rPr>
      </w:r>
    </w:p>
    <w:p>
      <w:pPr>
        <w:pStyle w:val="Normal"/>
        <w:spacing w:before="0" w:after="0"/>
        <w:rPr>
          <w:rFonts w:ascii="Source Sans Pro" w:hAnsi="Source Sans Pro" w:cs="Arial"/>
          <w:bCs/>
          <w:color w:val="FF0000"/>
          <w:sz w:val="18"/>
          <w:szCs w:val="18"/>
        </w:rPr>
      </w:pPr>
      <w:r>
        <w:rPr>
          <w:rFonts w:cs="Arial" w:ascii="Source Sans Pro" w:hAnsi="Source Sans Pro"/>
          <w:bCs/>
          <w:color w:val="FF0000"/>
          <w:sz w:val="18"/>
          <w:szCs w:val="18"/>
        </w:rPr>
      </w:r>
    </w:p>
    <w:tbl>
      <w:tblPr>
        <w:tblStyle w:val="TableGrid"/>
        <w:tblW w:w="5000" w:type="pct"/>
        <w:jc w:val="start"/>
        <w:tblInd w:w="-5" w:type="dxa"/>
        <w:tblLayout w:type="fixed"/>
        <w:tblCellMar>
          <w:top w:w="0" w:type="dxa"/>
          <w:start w:w="108" w:type="dxa"/>
          <w:bottom w:w="0" w:type="dxa"/>
          <w:end w:w="108" w:type="dxa"/>
        </w:tblCellMar>
        <w:tblLook w:val="04a0" w:noHBand="0" w:noVBand="1" w:firstColumn="1" w:lastRow="0" w:lastColumn="0" w:firstRow="1"/>
      </w:tblPr>
      <w:tblGrid>
        <w:gridCol w:w="9354"/>
      </w:tblGrid>
      <w:tr>
        <w:trPr>
          <w:trHeight w:val="397" w:hRule="atLeast"/>
        </w:trPr>
        <w:tc>
          <w:tcPr>
            <w:tcW w:w="9354" w:type="dxa"/>
            <w:tcBorders>
              <w:top w:val="single" w:sz="4" w:space="0" w:color="808080"/>
              <w:start w:val="single" w:sz="4" w:space="0" w:color="808080"/>
              <w:bottom w:val="single" w:sz="2" w:space="0" w:color="808080"/>
              <w:end w:val="single" w:sz="4" w:space="0" w:color="808080"/>
            </w:tcBorders>
            <w:shd w:color="auto" w:fill="D9D9D9" w:themeFill="background1" w:themeFillShade="d9" w:val="clear"/>
            <w:vAlign w:val="center"/>
          </w:tcPr>
          <w:p>
            <w:pPr>
              <w:pStyle w:val="Normal"/>
              <w:widowControl/>
              <w:spacing w:lineRule="auto" w:line="259" w:before="0" w:after="0"/>
              <w:jc w:val="start"/>
              <w:rPr>
                <w:rStyle w:val="Formatvorlage2"/>
                <w:rFonts w:ascii="Source Sans Pro" w:hAnsi="Source Sans Pro"/>
                <w:b/>
                <w:sz w:val="20"/>
              </w:rPr>
            </w:pPr>
            <w:sdt>
              <w:sdtPr>
                <w:placeholder>
                  <w:docPart w:val="DefaultPlaceholder_-1854013440"/>
                </w:placeholder>
                <w:id w:val="-1731690437"/>
                <w:lock w:val="sdtContentLocked"/>
                <w:text/>
              </w:sdtPr>
              <w:sdtContent>
                <w:r>
                  <w:rPr>
                    <w:rStyle w:val="Formatvorlage2"/>
                    <w:rFonts w:eastAsia="Source Sans Pro" w:cs="Arial" w:ascii="Source Sans Pro" w:hAnsi="Source Sans Pro"/>
                    <w:b/>
                    <w:kern w:val="0"/>
                    <w:sz w:val="20"/>
                    <w:szCs w:val="20"/>
                    <w:lang w:val="de-DE" w:eastAsia="en-US" w:bidi="ar-SA"/>
                  </w:rPr>
                </w:r>
                <w:r>
                  <w:rPr>
                    <w:rStyle w:val="Formatvorlage2"/>
                    <w:rFonts w:eastAsia="Source Sans Pro" w:cs="Arial" w:ascii="Source Sans Pro" w:hAnsi="Source Sans Pro"/>
                    <w:b/>
                    <w:kern w:val="0"/>
                    <w:sz w:val="20"/>
                    <w:szCs w:val="20"/>
                    <w:lang w:val="de-DE" w:eastAsia="en-US" w:bidi="ar-SA"/>
                  </w:rPr>
                  <w:t>Klimasensitive Projektorganisation</w:t>
                </w:r>
              </w:sdtContent>
            </w:sdt>
          </w:p>
        </w:tc>
      </w:tr>
      <w:tr>
        <w:trPr>
          <w:trHeight w:val="397" w:hRule="atLeast"/>
        </w:trPr>
        <w:tc>
          <w:tcPr>
            <w:tcW w:w="9354" w:type="dxa"/>
            <w:tcBorders>
              <w:top w:val="single" w:sz="2" w:space="0" w:color="808080"/>
              <w:start w:val="single" w:sz="4" w:space="0" w:color="808080"/>
              <w:bottom w:val="single" w:sz="2" w:space="0" w:color="808080"/>
              <w:end w:val="single" w:sz="4" w:space="0" w:color="808080"/>
            </w:tcBorders>
            <w:shd w:color="auto" w:fill="F2F2F2" w:themeFill="background1" w:themeFillShade="f2" w:val="clear"/>
            <w:vAlign w:val="center"/>
          </w:tcPr>
          <w:sdt>
            <w:sdtPr>
              <w:id w:val="1073482332"/>
              <w:placeholder>
                <w:docPart w:val="DefaultPlaceholder_-1854013440"/>
              </w:placeholder>
              <w:lock w:val="sdtContentLocked"/>
            </w:sdtPr>
            <w:sdtContent>
              <w:p>
                <w:pPr>
                  <w:pStyle w:val="Normal"/>
                  <w:widowControl/>
                  <w:spacing w:before="0" w:after="120"/>
                  <w:jc w:val="start"/>
                  <w:rPr>
                    <w:rStyle w:val="Formatvorlage9"/>
                    <w:rFonts w:ascii="Source Sans Pro" w:hAnsi="Source Sans Pro" w:asciiTheme="minorHAnsi" w:hAnsiTheme="minorHAnsi"/>
                    <w:highlight w:val="yellow"/>
                  </w:rPr>
                </w:pPr>
                <w:r>
                  <w:rPr>
                    <w:rFonts w:eastAsia="Source Sans Pro" w:cs="Times New Roman" w:ascii="Source Sans Pro" w:hAnsi="Source Sans Pro"/>
                    <w:kern w:val="0"/>
                    <w:sz w:val="20"/>
                    <w:szCs w:val="20"/>
                    <w:lang w:val="de-DE" w:eastAsia="en-US" w:bidi="ar-SA"/>
                  </w:rPr>
                  <w:t>Erläutern Sie kurz, wie Sie das Projekt möglichst klimaschonend organisieren wollen.</w:t>
                </w:r>
              </w:p>
            </w:sdtContent>
          </w:sdt>
        </w:tc>
      </w:tr>
      <w:tr>
        <w:trPr>
          <w:trHeight w:val="397" w:hRule="atLeast"/>
        </w:trPr>
        <w:tc>
          <w:tcPr>
            <w:tcW w:w="9354" w:type="dxa"/>
            <w:tcBorders>
              <w:top w:val="single" w:sz="2" w:space="0" w:color="808080"/>
              <w:start w:val="single" w:sz="4" w:space="0" w:color="808080"/>
              <w:bottom w:val="single" w:sz="4" w:space="0" w:color="808080"/>
              <w:end w:val="single" w:sz="4" w:space="0" w:color="808080"/>
            </w:tcBorders>
          </w:tcPr>
          <w:p>
            <w:pPr>
              <w:pStyle w:val="Normal"/>
              <w:widowControl/>
              <w:spacing w:lineRule="auto" w:line="259" w:before="0" w:after="120"/>
              <w:jc w:val="both"/>
              <w:rPr>
                <w:rStyle w:val="Formatvorlage2"/>
                <w:rFonts w:ascii="Source Sans Pro" w:hAnsi="Source Sans Pro" w:asciiTheme="minorHAnsi" w:hAnsiTheme="minorHAnsi"/>
                <w:bCs/>
                <w:sz w:val="20"/>
                <w:szCs w:val="20"/>
              </w:rPr>
            </w:pPr>
            <w:r>
              <w:rPr>
                <w:rStyle w:val="Formatvorlage2"/>
                <w:rFonts w:eastAsia="Source Sans Pro" w:cs="Arial"/>
                <w:bCs/>
                <w:kern w:val="0"/>
                <w:sz w:val="20"/>
                <w:szCs w:val="20"/>
                <w:lang w:val="de-DE" w:eastAsia="en-US" w:bidi="ar-SA"/>
              </w:rPr>
              <w:t>Das Projekt wird unter konsequenter Berücksichtigung von Nachhaltigkeits- und Klimaschutzaspekten geplant und umgesetzt. Zentrale Projektbestandteile wie Auswahlprozesse, fachliche Vorbereitung, akademische Beratung und Vernetzung (Digital Prep) werden überwiegend digital realisiert, wodurch der Bedarf an physischen Reisen deutlich reduziert wird. Insbesondere das Onboarding über Digital Prep ersetzt zahlreiche vorbereitende Vor-Ort-Termine und minimiert damit den CO₂-Fußabdruck des Projekts.</w:t>
            </w:r>
          </w:p>
          <w:p>
            <w:pPr>
              <w:pStyle w:val="Normal"/>
              <w:widowControl/>
              <w:spacing w:lineRule="auto" w:line="259" w:before="0" w:after="120"/>
              <w:jc w:val="both"/>
              <w:rPr>
                <w:rStyle w:val="Formatvorlage2"/>
                <w:rFonts w:ascii="Source Sans Pro" w:hAnsi="Source Sans Pro" w:asciiTheme="minorHAnsi" w:hAnsiTheme="minorHAnsi"/>
                <w:bCs/>
                <w:sz w:val="20"/>
                <w:szCs w:val="20"/>
              </w:rPr>
            </w:pPr>
            <w:r>
              <w:rPr>
                <w:rStyle w:val="Formatvorlage2"/>
                <w:rFonts w:eastAsia="Source Sans Pro" w:cs="Arial"/>
                <w:bCs/>
                <w:kern w:val="0"/>
                <w:sz w:val="20"/>
                <w:szCs w:val="20"/>
                <w:lang w:val="de-DE" w:eastAsia="en-US" w:bidi="ar-SA"/>
              </w:rPr>
              <w:t>Unvermeidbare internationale Dienstreisen im Rahmen des Recruitments werden strategisch gebündelt, auf wenige, klar definierte Zielregionen beschränkt und die Teilnahme an Recruiting-Messe wird jeweils mit Besuchen an Partnerhochschulen in einer Reise kombiniert, um Emissionen zu minimieren. Vor Ort wird auf die Nutzung öffentlicher Verkehrsmittel geachtet, und digitale Anschlussformate ersetzen nachgelagerte Reisen.</w:t>
            </w:r>
          </w:p>
          <w:p>
            <w:pPr>
              <w:pStyle w:val="Normal"/>
              <w:widowControl/>
              <w:spacing w:lineRule="auto" w:line="259" w:before="0" w:after="120"/>
              <w:jc w:val="both"/>
              <w:rPr>
                <w:rStyle w:val="Formatvorlage2"/>
                <w:rFonts w:ascii="Source Sans Pro" w:hAnsi="Source Sans Pro" w:asciiTheme="minorHAnsi" w:hAnsiTheme="minorHAnsi"/>
                <w:bCs/>
                <w:sz w:val="20"/>
                <w:szCs w:val="20"/>
                <w:highlight w:val="yellow"/>
              </w:rPr>
            </w:pPr>
            <w:r>
              <w:rPr>
                <w:rStyle w:val="Formatvorlage2"/>
                <w:rFonts w:eastAsia="Source Sans Pro" w:cs="Arial"/>
                <w:bCs/>
                <w:kern w:val="0"/>
                <w:sz w:val="20"/>
                <w:szCs w:val="20"/>
                <w:lang w:val="de-DE" w:eastAsia="en-US" w:bidi="ar-SA"/>
              </w:rPr>
              <w:t>Die Summer School in Siegen muss in Präsenz stattfinden, wird jedoch ressourcenschonend organisiert, u. a. durch die Nutzung bestehender Infrastruktur, kurze Wege auf dem Campus, der Nutzung von ÖPNV, sowie die Integration digitaler Elemente. Insgesamt folgt das Projekt dem Prinzip „digital first, Präsenz nur dort, wo sie einen klaren Mehrwert bietet“, und verbindet so internationale Talentgewinnung mit einem verantwortungsvollen Umgang mit ökologischen Ressourcen.</w:t>
            </w:r>
          </w:p>
        </w:tc>
      </w:tr>
    </w:tbl>
    <w:p>
      <w:pPr>
        <w:pStyle w:val="Normal"/>
        <w:rPr>
          <w:rFonts w:ascii="Source Sans Pro Bold" w:hAnsi="Source Sans Pro Bold" w:cs="Arial" w:asciiTheme="majorHAnsi" w:hAnsiTheme="majorHAnsi"/>
          <w:b/>
          <w:sz w:val="22"/>
        </w:rPr>
      </w:pPr>
      <w:r>
        <w:rPr>
          <w:rFonts w:cs="Arial" w:ascii="Source Sans Pro Bold" w:hAnsi="Source Sans Pro Bold"/>
          <w:b/>
          <w:sz w:val="22"/>
        </w:rPr>
      </w:r>
    </w:p>
    <w:tbl>
      <w:tblPr>
        <w:tblStyle w:val="TableGrid"/>
        <w:tblW w:w="5000" w:type="pct"/>
        <w:jc w:val="start"/>
        <w:tblInd w:w="-5" w:type="dxa"/>
        <w:tblLayout w:type="fixed"/>
        <w:tblCellMar>
          <w:top w:w="0" w:type="dxa"/>
          <w:start w:w="108" w:type="dxa"/>
          <w:bottom w:w="0" w:type="dxa"/>
          <w:end w:w="108" w:type="dxa"/>
        </w:tblCellMar>
        <w:tblLook w:val="04a0" w:noHBand="0" w:noVBand="1" w:firstColumn="1" w:lastRow="0" w:lastColumn="0" w:firstRow="1"/>
      </w:tblPr>
      <w:tblGrid>
        <w:gridCol w:w="9354"/>
      </w:tblGrid>
      <w:tr>
        <w:trPr>
          <w:trHeight w:val="397" w:hRule="atLeast"/>
        </w:trPr>
        <w:tc>
          <w:tcPr>
            <w:tcW w:w="9354" w:type="dxa"/>
            <w:tcBorders>
              <w:top w:val="single" w:sz="4" w:space="0" w:color="808080"/>
              <w:start w:val="single" w:sz="4" w:space="0" w:color="808080"/>
              <w:bottom w:val="single" w:sz="2" w:space="0" w:color="808080"/>
              <w:end w:val="single" w:sz="4" w:space="0" w:color="808080"/>
            </w:tcBorders>
            <w:shd w:color="auto" w:fill="D9D9D9" w:themeFill="background1" w:themeFillShade="d9" w:val="clear"/>
            <w:vAlign w:val="center"/>
          </w:tcPr>
          <w:p>
            <w:pPr>
              <w:pStyle w:val="Normal"/>
              <w:widowControl/>
              <w:spacing w:lineRule="auto" w:line="259" w:before="0" w:after="0"/>
              <w:jc w:val="start"/>
              <w:rPr>
                <w:rStyle w:val="Formatvorlage2"/>
                <w:rFonts w:ascii="Source Sans Pro" w:hAnsi="Source Sans Pro" w:asciiTheme="minorHAnsi" w:hAnsiTheme="minorHAnsi"/>
                <w:b/>
                <w:sz w:val="20"/>
              </w:rPr>
            </w:pPr>
            <w:sdt>
              <w:sdtPr>
                <w:placeholder>
                  <w:docPart w:val="DefaultPlaceholder_-1854013440"/>
                </w:placeholder>
                <w:id w:val="1906719828"/>
                <w:lock w:val="sdtContentLocked"/>
                <w:text/>
              </w:sdtPr>
              <w:sdtContent>
                <w:r>
                  <w:rPr>
                    <w:rStyle w:val="Formatvorlage2"/>
                    <w:rFonts w:eastAsia="Source Sans Pro" w:cs="Arial"/>
                    <w:b/>
                    <w:kern w:val="0"/>
                    <w:sz w:val="20"/>
                    <w:szCs w:val="20"/>
                    <w:lang w:val="de-DE" w:eastAsia="en-US" w:bidi="ar-SA"/>
                  </w:rPr>
                </w:r>
                <w:r>
                  <w:rPr>
                    <w:rStyle w:val="Formatvorlage2"/>
                    <w:rFonts w:eastAsia="Source Sans Pro" w:cs="Arial"/>
                    <w:b/>
                    <w:kern w:val="0"/>
                    <w:sz w:val="20"/>
                    <w:szCs w:val="20"/>
                    <w:lang w:val="de-DE" w:eastAsia="en-US" w:bidi="ar-SA"/>
                  </w:rPr>
                  <w:t>Berücksichtigung von Diversität</w:t>
                </w:r>
                <w:r>
                  <w:rPr>
                    <w:rStyle w:val="Formatvorlage9"/>
                    <w:rFonts w:eastAsia="Source Sans Pro" w:cs="Arial"/>
                    <w:b/>
                    <w:kern w:val="0"/>
                    <w:sz w:val="22"/>
                    <w:szCs w:val="22"/>
                    <w:lang w:val="de-DE" w:eastAsia="en-US" w:bidi="ar-SA"/>
                  </w:rPr>
                  <w:t xml:space="preserve"> </w:t>
                </w:r>
              </w:sdtContent>
            </w:sdt>
          </w:p>
        </w:tc>
      </w:tr>
      <w:tr>
        <w:trPr>
          <w:trHeight w:val="397" w:hRule="atLeast"/>
        </w:trPr>
        <w:tc>
          <w:tcPr>
            <w:tcW w:w="9354" w:type="dxa"/>
            <w:tcBorders>
              <w:top w:val="single" w:sz="2" w:space="0" w:color="808080"/>
              <w:start w:val="single" w:sz="4" w:space="0" w:color="808080"/>
              <w:bottom w:val="single" w:sz="2" w:space="0" w:color="808080"/>
              <w:end w:val="single" w:sz="4" w:space="0" w:color="808080"/>
            </w:tcBorders>
            <w:shd w:color="auto" w:fill="F2F2F2" w:themeFill="background1" w:themeFillShade="f2" w:val="clear"/>
            <w:vAlign w:val="center"/>
          </w:tcPr>
          <w:sdt>
            <w:sdtPr>
              <w:id w:val="-532891078"/>
              <w:placeholder>
                <w:docPart w:val="DefaultPlaceholder_-1854013440"/>
              </w:placeholder>
              <w:lock w:val="sdtLocked"/>
            </w:sdtPr>
            <w:sdtContent>
              <w:p>
                <w:pPr>
                  <w:pStyle w:val="Normal"/>
                  <w:widowControl/>
                  <w:spacing w:before="0" w:after="120"/>
                  <w:jc w:val="start"/>
                  <w:rPr>
                    <w:rStyle w:val="Formatvorlage9"/>
                    <w:rFonts w:ascii="Source Sans Pro" w:hAnsi="Source Sans Pro" w:asciiTheme="minorHAnsi" w:hAnsiTheme="minorHAnsi"/>
                    <w:highlight w:val="yellow"/>
                  </w:rPr>
                </w:pPr>
                <w:r>
                  <w:rPr>
                    <w:rStyle w:val="Formatvorlage2"/>
                    <w:rFonts w:eastAsia="Source Sans Pro" w:cs="Arial"/>
                    <w:kern w:val="0"/>
                    <w:sz w:val="20"/>
                    <w:szCs w:val="20"/>
                    <w:lang w:val="de-DE" w:eastAsia="en-US" w:bidi="ar-SA"/>
                  </w:rPr>
                  <w:t>Erläutern Sie kurz, wie Sie die Förderung von Diversität in Ihrem Projekt berücksichtigen.</w:t>
                </w:r>
              </w:p>
            </w:sdtContent>
          </w:sdt>
        </w:tc>
      </w:tr>
      <w:tr>
        <w:trPr>
          <w:trHeight w:val="397" w:hRule="atLeast"/>
        </w:trPr>
        <w:tc>
          <w:tcPr>
            <w:tcW w:w="9354" w:type="dxa"/>
            <w:tcBorders>
              <w:top w:val="single" w:sz="2" w:space="0" w:color="808080"/>
              <w:start w:val="single" w:sz="4" w:space="0" w:color="808080"/>
              <w:bottom w:val="single" w:sz="4" w:space="0" w:color="808080"/>
              <w:end w:val="single" w:sz="4" w:space="0" w:color="808080"/>
            </w:tcBorders>
          </w:tcPr>
          <w:p>
            <w:pPr>
              <w:pStyle w:val="Normal"/>
              <w:widowControl/>
              <w:spacing w:lineRule="auto" w:line="259" w:before="0" w:after="120"/>
              <w:jc w:val="both"/>
              <w:rPr>
                <w:rStyle w:val="Formatvorlage2"/>
                <w:rFonts w:ascii="Source Sans Pro" w:hAnsi="Source Sans Pro" w:asciiTheme="minorHAnsi" w:hAnsiTheme="minorHAnsi"/>
                <w:bCs/>
                <w:sz w:val="20"/>
                <w:szCs w:val="20"/>
              </w:rPr>
            </w:pPr>
            <w:r>
              <w:rPr>
                <w:rStyle w:val="Formatvorlage2"/>
                <w:rFonts w:eastAsia="Source Sans Pro" w:cs="Arial"/>
                <w:bCs/>
                <w:kern w:val="0"/>
                <w:sz w:val="20"/>
                <w:szCs w:val="20"/>
                <w:lang w:val="de-DE" w:eastAsia="en-US" w:bidi="ar-SA"/>
              </w:rPr>
              <w:t xml:space="preserve">Das Projekt setzt sich aktiv für die Förderung von Diversität in der Zielgruppenansprache ein, um gezielt unterrepräsentierte Gruppen zu erreichen. Ein zentraler Fokus liegt dabei auf der Geschlechtergerechtigkeit, insbesondere in den MINT-Fächern. Aufbauend auf bestehenden Erfahrungen und Strukturen des ZESS  werden gezielt Formate und Netzwerke adressiert, die Frauen in technischen und naturwissenschaftlichen Disziplinen unterstützen. Dazu zählen insbesondere die am ZESS etablierten Initiativen „Women in Computing“ und „Women in Terahertz“, die bereits erfolgreich zur </w:t>
            </w:r>
            <w:hyperlink r:id="rId12">
              <w:r>
                <w:rPr>
                  <w:rStyle w:val="Hyperlink"/>
                  <w:rFonts w:eastAsia="Source Sans Pro" w:cs="Arial"/>
                  <w:bCs/>
                  <w:kern w:val="0"/>
                  <w:sz w:val="20"/>
                  <w:szCs w:val="20"/>
                  <w:lang w:val="de-DE" w:eastAsia="en-US" w:bidi="ar-SA"/>
                </w:rPr>
                <w:t>Sichtbarkeit und Vernetzung von Wissenschaftlerinnen</w:t>
              </w:r>
            </w:hyperlink>
            <w:r>
              <w:rPr>
                <w:rStyle w:val="Formatvorlage2"/>
                <w:rFonts w:eastAsia="Source Sans Pro" w:cs="Arial"/>
                <w:bCs/>
                <w:kern w:val="0"/>
                <w:sz w:val="20"/>
                <w:szCs w:val="20"/>
                <w:lang w:val="de-DE" w:eastAsia="en-US" w:bidi="ar-SA"/>
              </w:rPr>
              <w:t xml:space="preserve"> und Studierenden in diesen Bereichen beitragen. Diese bestehenden Initiativen werden im Rahmen des Projekts genutzt, um internationale Bewerberinnen gezielt anzusprechen und als Anknüpfungspunkt für eine gendersensible Kommunikation in den Zielregionen zu dienen, unter anderem in Indien und Vietnam. Ergänzend wird an Partnerhochschulen mit vergleichsweise hohem Frauenanteil in MINT-Fächern gezielt geworben. Beispielsweise haben mehrere Indian Institutes of Technology (IITs) durch die Einführung von Supernumerary Quotas den Anteil weiblicher Studierender in technischen Studiengängen in den vergangenen Jahren deutlich erhöht. Durch diese kombinierten Maßnahmen wird angestrebt, den Anteil qualifizierter Bewerberinnen in den adressierten Zielgruppen nachhaltig zu steigern.</w:t>
            </w:r>
          </w:p>
          <w:p>
            <w:pPr>
              <w:pStyle w:val="Normal"/>
              <w:widowControl/>
              <w:spacing w:lineRule="auto" w:line="259" w:before="0" w:after="120"/>
              <w:jc w:val="both"/>
              <w:rPr>
                <w:rStyle w:val="Formatvorlage2"/>
                <w:rFonts w:ascii="Source Sans Pro" w:hAnsi="Source Sans Pro" w:asciiTheme="minorHAnsi" w:hAnsiTheme="minorHAnsi"/>
                <w:bCs/>
                <w:sz w:val="20"/>
                <w:szCs w:val="20"/>
              </w:rPr>
            </w:pPr>
            <w:r>
              <w:rPr>
                <w:rStyle w:val="Formatvorlage2"/>
                <w:rFonts w:eastAsia="Source Sans Pro" w:cs="Arial"/>
                <w:bCs/>
                <w:kern w:val="0"/>
                <w:sz w:val="20"/>
                <w:szCs w:val="20"/>
                <w:lang w:val="de-DE" w:eastAsia="en-US" w:bidi="ar-SA"/>
              </w:rPr>
              <w:t>Im Auswahlverfahren für die Summer School wird besonderer Wert auf transparente und diskriminierungsfreie Kriterien gelegt, die Vielfalt aktiv fördern. Eine Mindestquote von 33% (d.h. 5 von 15) Frauen in der Vorauswahl soll sicherstellen, dass Frauen in MINT-Fächern angemessen vertreten sind. Darüber hinaus werden neben akademischen Leistungen auch interkulturelle Kompetenzen, soziales Engagement und überwundene Bildungsbarrieren als Auswahlkriterien gewichtet. Dies ermöglicht eine ganzheitliche Bewertung der BewerberInnen und fördert die Berücksichtigung von Studierenden mit unterschiedlichen Hintergründen und Lebenserfahrungen (z.B. first generation students). Der Onboarding-Prozesses für Fachstudierenden in Siegen setzt auf eine inklusive Integration aller Teilnehmenden. Um sprachliche und kulturelle Barrieren zu überwinden, werden kostenlose DaF-Kurse auf verschiedenen Niveaus angeboten, einschließlich Fachsprache für MINT-Berufe. Diese Kurse unterstützen die Teilnehmenden dabei, sich schneller in das akademische und soziale Umfeld in Siegen zu integrieren und ihre Chancen auf einen erfolgreichen Studienverlauf zu erhöhen. Zudem werden interkulturelle Trainings und Buddy-Programme angeboten, um den Austausch und das Verständnis zwischen den Studierenden zu fördern. Die Öffentlichkeitsarbeit spielt eine zentrale Rolle, um die Vielfalt des Programms sichtbar zu machen. Erfolgreiche Diversitätsbeispiele werden durch Porträts von Teilnehmenden in Projektberichten, auf den Social-Media-Kanälen der Universität oder auf der ZESS-Website präsentiert. Diese Maßnahmen tragen dazu bei, die Bedeutung von Diversität und Inklusion im akademischen Kontext zu unterstreichen und exzellente Studierende aus bisher unterrepräsentierten Gruppen zu ermutigen, sich für das Programm zu bewerben. Durch die Präsentation von Erfolgsgeschichten wird gezeigt, wie Vielfalt den akademischen und persönlichen Erfolg bereichert.</w:t>
            </w:r>
          </w:p>
        </w:tc>
      </w:tr>
    </w:tbl>
    <w:p>
      <w:pPr>
        <w:pStyle w:val="Normal"/>
        <w:rPr>
          <w:rFonts w:ascii="Source Sans Pro Bold" w:hAnsi="Source Sans Pro Bold" w:cs="Arial" w:asciiTheme="majorHAnsi" w:hAnsiTheme="majorHAnsi"/>
          <w:b/>
          <w:sz w:val="22"/>
        </w:rPr>
      </w:pPr>
      <w:r>
        <w:rPr>
          <w:rFonts w:cs="Arial" w:ascii="Source Sans Pro Bold" w:hAnsi="Source Sans Pro Bold"/>
          <w:b/>
          <w:sz w:val="22"/>
        </w:rPr>
      </w:r>
    </w:p>
    <w:tbl>
      <w:tblPr>
        <w:tblStyle w:val="TableGrid"/>
        <w:tblW w:w="5000" w:type="pct"/>
        <w:jc w:val="start"/>
        <w:tblInd w:w="-5" w:type="dxa"/>
        <w:tblLayout w:type="fixed"/>
        <w:tblCellMar>
          <w:top w:w="0" w:type="dxa"/>
          <w:start w:w="108" w:type="dxa"/>
          <w:bottom w:w="0" w:type="dxa"/>
          <w:end w:w="108" w:type="dxa"/>
        </w:tblCellMar>
        <w:tblLook w:val="04a0" w:noHBand="0" w:noVBand="1" w:firstColumn="1" w:lastRow="0" w:lastColumn="0" w:firstRow="1"/>
      </w:tblPr>
      <w:tblGrid>
        <w:gridCol w:w="9354"/>
      </w:tblGrid>
      <w:tr>
        <w:trPr>
          <w:trHeight w:val="397" w:hRule="atLeast"/>
        </w:trPr>
        <w:tc>
          <w:tcPr>
            <w:tcW w:w="9354" w:type="dxa"/>
            <w:tcBorders>
              <w:top w:val="single" w:sz="4" w:space="0" w:color="808080"/>
              <w:start w:val="single" w:sz="4" w:space="0" w:color="808080"/>
              <w:bottom w:val="single" w:sz="2" w:space="0" w:color="808080"/>
              <w:end w:val="single" w:sz="4" w:space="0" w:color="808080"/>
            </w:tcBorders>
            <w:shd w:color="auto" w:fill="D9D9D9" w:themeFill="background1" w:themeFillShade="d9" w:val="clear"/>
            <w:vAlign w:val="center"/>
          </w:tcPr>
          <w:p>
            <w:pPr>
              <w:pStyle w:val="Normal"/>
              <w:widowControl/>
              <w:spacing w:lineRule="auto" w:line="259" w:before="0" w:after="0"/>
              <w:jc w:val="start"/>
              <w:rPr>
                <w:rStyle w:val="Formatvorlage2"/>
                <w:rFonts w:ascii="Source Sans Pro" w:hAnsi="Source Sans Pro" w:asciiTheme="minorHAnsi" w:hAnsiTheme="minorHAnsi"/>
                <w:b/>
                <w:sz w:val="20"/>
              </w:rPr>
            </w:pPr>
            <w:sdt>
              <w:sdtPr>
                <w:placeholder>
                  <w:docPart w:val="FB42BF2B131949B4B3790B6F24C1A5B3"/>
                </w:placeholder>
                <w:id w:val="651718741"/>
                <w:lock w:val="contentLocked"/>
                <w:text/>
              </w:sdtPr>
              <w:sdtContent>
                <w:r>
                  <w:rPr>
                    <w:rStyle w:val="Formatvorlage2"/>
                    <w:rFonts w:eastAsia="Source Sans Pro" w:cs="Arial"/>
                    <w:b/>
                    <w:bCs/>
                    <w:kern w:val="0"/>
                    <w:sz w:val="20"/>
                    <w:szCs w:val="20"/>
                    <w:lang w:val="de-DE" w:eastAsia="en-US" w:bidi="ar-SA"/>
                  </w:rPr>
                </w:r>
                <w:r>
                  <w:rPr>
                    <w:rStyle w:val="Formatvorlage2"/>
                    <w:rFonts w:eastAsia="Source Sans Pro" w:cs="Arial"/>
                    <w:b/>
                    <w:bCs/>
                    <w:kern w:val="0"/>
                    <w:sz w:val="20"/>
                    <w:szCs w:val="20"/>
                    <w:lang w:val="de-DE" w:eastAsia="en-US" w:bidi="ar-SA"/>
                  </w:rPr>
                  <w:t>Stärkung des Innovations- und Forschungsstandorts Deutschland</w:t>
                </w:r>
                <w:r>
                  <w:rPr>
                    <w:rStyle w:val="Formatvorlage9"/>
                    <w:rFonts w:eastAsia="Source Sans Pro" w:cs="Arial"/>
                    <w:b/>
                    <w:kern w:val="0"/>
                    <w:sz w:val="22"/>
                    <w:szCs w:val="22"/>
                    <w:lang w:val="de-DE" w:eastAsia="en-US" w:bidi="ar-SA"/>
                  </w:rPr>
                  <w:t xml:space="preserve"> </w:t>
                </w:r>
              </w:sdtContent>
            </w:sdt>
          </w:p>
        </w:tc>
      </w:tr>
      <w:tr>
        <w:trPr>
          <w:trHeight w:val="397" w:hRule="atLeast"/>
        </w:trPr>
        <w:tc>
          <w:tcPr>
            <w:tcW w:w="9354" w:type="dxa"/>
            <w:tcBorders>
              <w:top w:val="single" w:sz="2" w:space="0" w:color="808080"/>
              <w:start w:val="single" w:sz="4" w:space="0" w:color="808080"/>
              <w:bottom w:val="single" w:sz="2" w:space="0" w:color="808080"/>
              <w:end w:val="single" w:sz="4" w:space="0" w:color="808080"/>
            </w:tcBorders>
            <w:shd w:color="auto" w:fill="F2F2F2" w:themeFill="background1" w:themeFillShade="f2" w:val="clear"/>
            <w:vAlign w:val="center"/>
          </w:tcPr>
          <w:sdt>
            <w:sdtPr>
              <w:id w:val="-844395136"/>
              <w:placeholder>
                <w:docPart w:val="FB42BF2B131949B4B3790B6F24C1A5B3"/>
              </w:placeholder>
            </w:sdtPr>
            <w:sdtContent>
              <w:p>
                <w:pPr>
                  <w:pStyle w:val="Normal"/>
                  <w:widowControl/>
                  <w:spacing w:before="0" w:after="120"/>
                  <w:jc w:val="start"/>
                  <w:rPr>
                    <w:rStyle w:val="Formatvorlage9"/>
                    <w:rFonts w:ascii="Source Sans Pro" w:hAnsi="Source Sans Pro" w:asciiTheme="minorHAnsi" w:hAnsiTheme="minorHAnsi"/>
                    <w:highlight w:val="yellow"/>
                  </w:rPr>
                </w:pPr>
                <w:r>
                  <w:rPr>
                    <w:rStyle w:val="Formatvorlage2"/>
                    <w:rFonts w:eastAsia="Source Sans Pro" w:cs="Arial"/>
                    <w:kern w:val="0"/>
                    <w:sz w:val="20"/>
                    <w:szCs w:val="20"/>
                    <w:lang w:val="de-DE" w:eastAsia="en-US" w:bidi="ar-SA"/>
                  </w:rPr>
                  <w:t>Erläutern Sie kurz, wie Ihr Vorhaben den Innovations- und Forschungsstandort Deutschland stärkt.</w:t>
                </w:r>
              </w:p>
            </w:sdtContent>
          </w:sdt>
        </w:tc>
      </w:tr>
      <w:tr>
        <w:trPr>
          <w:trHeight w:val="397" w:hRule="atLeast"/>
        </w:trPr>
        <w:tc>
          <w:tcPr>
            <w:tcW w:w="9354" w:type="dxa"/>
            <w:tcBorders>
              <w:top w:val="single" w:sz="2" w:space="0" w:color="808080"/>
              <w:start w:val="single" w:sz="4" w:space="0" w:color="808080"/>
              <w:bottom w:val="single" w:sz="4" w:space="0" w:color="808080"/>
              <w:end w:val="single" w:sz="4" w:space="0" w:color="808080"/>
            </w:tcBorders>
          </w:tcPr>
          <w:p>
            <w:pPr>
              <w:pStyle w:val="Normal"/>
              <w:widowControl/>
              <w:spacing w:lineRule="auto" w:line="259" w:before="0" w:after="120"/>
              <w:jc w:val="both"/>
              <w:rPr>
                <w:rStyle w:val="Formatvorlage2"/>
                <w:rFonts w:ascii="Source Sans Pro" w:hAnsi="Source Sans Pro" w:asciiTheme="minorHAnsi" w:hAnsiTheme="minorHAnsi"/>
                <w:bCs/>
                <w:sz w:val="20"/>
                <w:szCs w:val="20"/>
              </w:rPr>
            </w:pPr>
            <w:r>
              <w:rPr>
                <w:rStyle w:val="Formatvorlage2"/>
                <w:rFonts w:eastAsia="Source Sans Pro" w:cs="Arial"/>
                <w:bCs/>
                <w:kern w:val="0"/>
                <w:sz w:val="20"/>
                <w:szCs w:val="20"/>
                <w:lang w:val="de-DE" w:eastAsia="en-US" w:bidi="ar-SA"/>
              </w:rPr>
              <w:t xml:space="preserve">Die enge Verzahnung von forschungsnaher Lehre im Department Elektrotechnik und Informatik (ETI), interdisziplinärer Spitzenforschung am ZESS sowie anwendungsorientierten Transferstrukturen und Fraunhofer-Kooperationen ermöglicht es, diese Studierenden frühzeitig </w:t>
            </w:r>
            <w:r>
              <w:rPr>
                <w:rFonts w:eastAsia="Source Sans Pro" w:cs="Arial"/>
                <w:bCs/>
                <w:kern w:val="0"/>
                <w:sz w:val="20"/>
                <w:szCs w:val="20"/>
                <w:lang w:val="de-DE" w:eastAsia="en-US" w:bidi="ar-SA"/>
              </w:rPr>
              <w:t xml:space="preserve">in reale Innovationsprozesse an der Schnittstelle von Grundlagenforschung, technologischer Entwicklung und industrieller Anwendung </w:t>
            </w:r>
            <w:r>
              <w:rPr>
                <w:rStyle w:val="Formatvorlage2"/>
                <w:rFonts w:eastAsia="Source Sans Pro" w:cs="Arial"/>
                <w:bCs/>
                <w:kern w:val="0"/>
                <w:sz w:val="20"/>
                <w:szCs w:val="20"/>
                <w:lang w:val="de-DE" w:eastAsia="en-US" w:bidi="ar-SA"/>
              </w:rPr>
              <w:t>einzubinden. Auf diese Weise entsteht ein nachhaltiger Talentpfad vom Masterstudium über Promotionen bis hin zu forschungsnahen Tätigkeiten in Industrie und Wissenschaft in Deutschland.</w:t>
            </w:r>
          </w:p>
          <w:p>
            <w:pPr>
              <w:pStyle w:val="Normal"/>
              <w:widowControl/>
              <w:spacing w:lineRule="auto" w:line="259" w:before="0" w:after="120"/>
              <w:jc w:val="both"/>
              <w:rPr>
                <w:rStyle w:val="Formatvorlage2"/>
                <w:rFonts w:ascii="Source Sans Pro" w:hAnsi="Source Sans Pro" w:asciiTheme="minorHAnsi" w:hAnsiTheme="minorHAnsi"/>
                <w:bCs/>
                <w:sz w:val="20"/>
                <w:szCs w:val="20"/>
              </w:rPr>
            </w:pPr>
            <w:r>
              <w:rPr>
                <w:rStyle w:val="Formatvorlage2"/>
                <w:rFonts w:eastAsia="Source Sans Pro" w:cs="Arial"/>
                <w:bCs/>
                <w:kern w:val="0"/>
                <w:sz w:val="20"/>
                <w:szCs w:val="20"/>
                <w:lang w:val="de-DE" w:eastAsia="en-US" w:bidi="ar-SA"/>
              </w:rPr>
              <w:t>Darüber hinaus stärkt das Projekt die internationale Sichtbarkeit des deutschen Wissenschaftssystems, fördert den Aufbau belastbarer internationaler Netzwerke in Südasien</w:t>
            </w:r>
            <w:r>
              <w:rPr>
                <w:rStyle w:val="Formatvorlage2"/>
                <w:rFonts w:eastAsia="Source Sans Pro" w:cs="Arial"/>
                <w:bCs/>
                <w:kern w:val="0"/>
                <w:szCs w:val="22"/>
                <w:lang w:val="de-DE" w:eastAsia="en-US" w:bidi="ar-SA"/>
              </w:rPr>
              <w:t>,</w:t>
            </w:r>
            <w:r>
              <w:rPr>
                <w:rStyle w:val="Formatvorlage2"/>
                <w:rFonts w:eastAsia="Source Sans Pro" w:cs="Arial"/>
                <w:bCs/>
                <w:kern w:val="0"/>
                <w:sz w:val="20"/>
                <w:szCs w:val="20"/>
                <w:lang w:val="de-DE" w:eastAsia="en-US" w:bidi="ar-SA"/>
              </w:rPr>
              <w:t xml:space="preserve"> Südostasien und Subsahara-Afrika und trägt dazu bei, die technologische Souveränität Deutschlands in Schlüsselbereichen der Hightech-Agenda, insbesondere KI, Mikroelektronik und Sensorsysteme, langfristig zu sichern.</w:t>
            </w:r>
            <w:bookmarkStart w:id="9" w:name="_Hlk88831726"/>
            <w:bookmarkEnd w:id="9"/>
          </w:p>
        </w:tc>
      </w:tr>
    </w:tbl>
    <w:p>
      <w:pPr>
        <w:pStyle w:val="Normal"/>
        <w:spacing w:before="0" w:after="120"/>
        <w:rPr>
          <w:rFonts w:ascii="Source Sans Pro Bold" w:hAnsi="Source Sans Pro Bold" w:cs="Arial" w:asciiTheme="majorHAnsi" w:hAnsiTheme="majorHAnsi"/>
          <w:b/>
          <w:sz w:val="22"/>
        </w:rPr>
      </w:pPr>
      <w:r>
        <w:rPr>
          <w:rFonts w:cs="Arial" w:ascii="Source Sans Pro Bold" w:hAnsi="Source Sans Pro Bold"/>
          <w:b/>
          <w:sz w:val="22"/>
        </w:rPr>
      </w:r>
    </w:p>
    <w:sectPr>
      <w:headerReference w:type="even" r:id="rId13"/>
      <w:headerReference w:type="default" r:id="rId14"/>
      <w:headerReference w:type="first" r:id="rId15"/>
      <w:footerReference w:type="even" r:id="rId16"/>
      <w:footerReference w:type="default" r:id="rId17"/>
      <w:footerReference w:type="first" r:id="rId18"/>
      <w:type w:val="nextPage"/>
      <w:pgSz w:w="11906" w:h="16838"/>
      <w:pgMar w:left="1418" w:right="1134" w:gutter="0" w:header="709" w:top="1843" w:footer="475"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rlito">
    <w:altName w:val="Calibri"/>
    <w:charset w:val="01" w:characterSet="utf-8"/>
    <w:family w:val="roman"/>
    <w:pitch w:val="variable"/>
  </w:font>
  <w:font w:name="Source Sans Pro">
    <w:charset w:val="01" w:characterSet="utf-8"/>
    <w:family w:val="roman"/>
    <w:pitch w:val="variable"/>
  </w:font>
  <w:font w:name="Source Sans Pro Bold">
    <w:charset w:val="01" w:characterSet="utf-8"/>
    <w:family w:val="roman"/>
    <w:pitch w:val="variable"/>
  </w:font>
  <w:font w:name="Arial">
    <w:charset w:val="01" w:characterSet="utf-8"/>
    <w:family w:val="swiss"/>
    <w:pitch w:val="variable"/>
  </w:font>
  <w:font w:name="Source Sans Pro">
    <w:charset w:val="01" w:characterSet="utf-8"/>
    <w:family w:val="swiss"/>
    <w:pitch w:val="variable"/>
  </w:font>
  <w:font w:name="Segoe UI">
    <w:charset w:val="01" w:characterSet="utf-8"/>
    <w:family w:val="swiss"/>
    <w:pitch w:val="variable"/>
  </w:font>
  <w:font w:name="Source Sans Pro Black">
    <w:charset w:val="01" w:characterSet="utf-8"/>
    <w:family w:val="swiss"/>
    <w:pitch w:val="variable"/>
  </w:font>
  <w:font w:name="Carlito">
    <w:altName w:val="Calibri"/>
    <w:charset w:val="01" w:characterSet="utf-8"/>
    <w:family w:val="swiss"/>
    <w:pitch w:val="variable"/>
  </w:font>
  <w:font w:name="Times New Roman">
    <w:charset w:val="01" w:characterSet="utf-8"/>
    <w:family w:val="roman"/>
    <w:pitch w:val="variable"/>
  </w:font>
  <w:font w:name="MS Gothic">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color w:themeColor="text1" w:val="000000"/>
        <w:sz w:val="16"/>
        <w:szCs w:val="16"/>
      </w:rPr>
      <w:t>Projektbeschreibung mit WoM – Academic Horizons – P43 – 08/</w:t>
    </w:r>
    <w:r>
      <w:rPr>
        <w:sz w:val="16"/>
        <w:szCs w:val="16"/>
      </w:rPr>
      <w:t>2025</w:t>
    </w:r>
    <w:r>
      <w:rPr>
        <w:color w:themeColor="accent5" w:val="8296A0"/>
        <w:sz w:val="16"/>
        <w:szCs w:val="16"/>
      </w:rPr>
      <w:t xml:space="preserve"> </w:t>
    </w:r>
    <w:r>
      <w:rPr>
        <w:sz w:val="16"/>
        <w:szCs w:val="16"/>
      </w:rPr>
      <w:t>– 4.2</w:t>
      <w:tab/>
      <w:t xml:space="preserve">Seite </w:t>
    </w:r>
    <w:r>
      <w:rPr>
        <w:sz w:val="16"/>
        <w:szCs w:val="16"/>
      </w:rPr>
      <w:fldChar w:fldCharType="begin"/>
    </w:r>
    <w:r>
      <w:rPr>
        <w:sz w:val="16"/>
        <w:szCs w:val="16"/>
      </w:rPr>
      <w:instrText xml:space="preserve"> PAGE \* ARABIC </w:instrText>
    </w:r>
    <w:r>
      <w:rPr>
        <w:sz w:val="16"/>
        <w:szCs w:val="16"/>
      </w:rPr>
      <w:fldChar w:fldCharType="separate"/>
    </w:r>
    <w:r>
      <w:rPr>
        <w:sz w:val="16"/>
        <w:szCs w:val="16"/>
      </w:rPr>
      <w:t>15</w:t>
    </w:r>
    <w:r>
      <w:rPr>
        <w:sz w:val="16"/>
        <w:szCs w:val="16"/>
      </w:rPr>
      <w:fldChar w:fldCharType="end"/>
    </w:r>
    <w:r>
      <w:rPr>
        <w:sz w:val="16"/>
        <w:szCs w:val="16"/>
      </w:rPr>
      <w:t xml:space="preserve"> von </w:t>
    </w:r>
    <w:r>
      <w:rPr>
        <w:sz w:val="16"/>
        <w:szCs w:val="16"/>
      </w:rPr>
      <w:fldChar w:fldCharType="begin"/>
    </w:r>
    <w:r>
      <w:rPr>
        <w:sz w:val="16"/>
        <w:szCs w:val="16"/>
      </w:rPr>
      <w:instrText xml:space="preserve"> NUMPAGES \* ARABIC </w:instrText>
    </w:r>
    <w:r>
      <w:rPr>
        <w:sz w:val="16"/>
        <w:szCs w:val="16"/>
      </w:rPr>
      <w:fldChar w:fldCharType="separate"/>
    </w:r>
    <w:r>
      <w:rPr>
        <w:sz w:val="16"/>
        <w:szCs w:val="16"/>
      </w:rPr>
      <w:t>15</w:t>
    </w:r>
    <w:r>
      <w:rPr>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color w:themeColor="text1" w:val="000000"/>
        <w:sz w:val="16"/>
        <w:szCs w:val="16"/>
      </w:rPr>
      <w:t>Projektbeschreibung mit WoM – Academic Horizons – P43 – 08/</w:t>
    </w:r>
    <w:r>
      <w:rPr>
        <w:sz w:val="16"/>
        <w:szCs w:val="16"/>
      </w:rPr>
      <w:t>2025</w:t>
    </w:r>
    <w:r>
      <w:rPr>
        <w:color w:themeColor="accent5" w:val="8296A0"/>
        <w:sz w:val="16"/>
        <w:szCs w:val="16"/>
      </w:rPr>
      <w:t xml:space="preserve"> </w:t>
    </w:r>
    <w:r>
      <w:rPr>
        <w:sz w:val="16"/>
        <w:szCs w:val="16"/>
      </w:rPr>
      <w:t>– 4.2</w:t>
      <w:tab/>
      <w:t xml:space="preserve">Seite </w:t>
    </w:r>
    <w:r>
      <w:rPr>
        <w:sz w:val="16"/>
        <w:szCs w:val="16"/>
      </w:rPr>
      <w:fldChar w:fldCharType="begin"/>
    </w:r>
    <w:r>
      <w:rPr>
        <w:sz w:val="16"/>
        <w:szCs w:val="16"/>
      </w:rPr>
      <w:instrText xml:space="preserve"> PAGE \* ARABIC </w:instrText>
    </w:r>
    <w:r>
      <w:rPr>
        <w:sz w:val="16"/>
        <w:szCs w:val="16"/>
      </w:rPr>
      <w:fldChar w:fldCharType="separate"/>
    </w:r>
    <w:r>
      <w:rPr>
        <w:sz w:val="16"/>
        <w:szCs w:val="16"/>
      </w:rPr>
      <w:t>15</w:t>
    </w:r>
    <w:r>
      <w:rPr>
        <w:sz w:val="16"/>
        <w:szCs w:val="16"/>
      </w:rPr>
      <w:fldChar w:fldCharType="end"/>
    </w:r>
    <w:r>
      <w:rPr>
        <w:sz w:val="16"/>
        <w:szCs w:val="16"/>
      </w:rPr>
      <w:t xml:space="preserve"> von </w:t>
    </w:r>
    <w:r>
      <w:rPr>
        <w:sz w:val="16"/>
        <w:szCs w:val="16"/>
      </w:rPr>
      <w:fldChar w:fldCharType="begin"/>
    </w:r>
    <w:r>
      <w:rPr>
        <w:sz w:val="16"/>
        <w:szCs w:val="16"/>
      </w:rPr>
      <w:instrText xml:space="preserve"> NUMPAGES \* ARABIC </w:instrText>
    </w:r>
    <w:r>
      <w:rPr>
        <w:sz w:val="16"/>
        <w:szCs w:val="16"/>
      </w:rPr>
      <w:fldChar w:fldCharType="separate"/>
    </w:r>
    <w:r>
      <w:rPr>
        <w:sz w:val="16"/>
        <w:szCs w:val="16"/>
      </w:rPr>
      <w:t>15</w:t>
    </w:r>
    <w:r>
      <w:rPr>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013" w:leader="none"/>
      </w:tabs>
      <w:rPr>
        <w:sz w:val="30"/>
        <w:szCs w:val="30"/>
      </w:rPr>
    </w:pPr>
    <w:r>
      <w:rPr>
        <w:sz w:val="30"/>
        <w:szCs w:val="30"/>
      </w:rPr>
      <w:drawing>
        <wp:anchor behindDoc="1" distT="0" distB="0" distL="0" distR="0" simplePos="0" locked="0" layoutInCell="0" allowOverlap="1" relativeHeight="16">
          <wp:simplePos x="0" y="0"/>
          <wp:positionH relativeFrom="page">
            <wp:posOffset>4558030</wp:posOffset>
          </wp:positionH>
          <wp:positionV relativeFrom="page">
            <wp:posOffset>60325</wp:posOffset>
          </wp:positionV>
          <wp:extent cx="2973070" cy="1079500"/>
          <wp:effectExtent l="0" t="0" r="0" b="0"/>
          <wp:wrapNone/>
          <wp:docPr id="1" name="Grafik 1989101198"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989101198" descr="Ein Bild, das Text enthält.&#10;&#10;Automatisch generierte Beschreibung"/>
                  <pic:cNvPicPr>
                    <a:picLocks noChangeAspect="1" noChangeArrowheads="1"/>
                  </pic:cNvPicPr>
                </pic:nvPicPr>
                <pic:blipFill>
                  <a:blip r:embed="rId1"/>
                  <a:stretch>
                    <a:fillRect/>
                  </a:stretch>
                </pic:blipFill>
                <pic:spPr bwMode="auto">
                  <a:xfrm>
                    <a:off x="0" y="0"/>
                    <a:ext cx="2973070" cy="107950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013" w:leader="none"/>
      </w:tabs>
      <w:rPr>
        <w:sz w:val="30"/>
        <w:szCs w:val="30"/>
      </w:rPr>
    </w:pPr>
    <w:r>
      <w:rPr>
        <w:sz w:val="30"/>
        <w:szCs w:val="30"/>
      </w:rPr>
      <w:drawing>
        <wp:anchor behindDoc="1" distT="0" distB="0" distL="0" distR="0" simplePos="0" locked="0" layoutInCell="0" allowOverlap="1" relativeHeight="16">
          <wp:simplePos x="0" y="0"/>
          <wp:positionH relativeFrom="page">
            <wp:posOffset>4558030</wp:posOffset>
          </wp:positionH>
          <wp:positionV relativeFrom="page">
            <wp:posOffset>60325</wp:posOffset>
          </wp:positionV>
          <wp:extent cx="2973070" cy="1079500"/>
          <wp:effectExtent l="0" t="0" r="0" b="0"/>
          <wp:wrapNone/>
          <wp:docPr id="2" name="Grafik 1989101198"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989101198" descr="Ein Bild, das Text enthält.&#10;&#10;Automatisch generierte Beschreibung"/>
                  <pic:cNvPicPr>
                    <a:picLocks noChangeAspect="1" noChangeArrowheads="1"/>
                  </pic:cNvPicPr>
                </pic:nvPicPr>
                <pic:blipFill>
                  <a:blip r:embed="rId1"/>
                  <a:stretch>
                    <a:fillRect/>
                  </a:stretch>
                </pic:blipFill>
                <pic:spPr bwMode="auto">
                  <a:xfrm>
                    <a:off x="0" y="0"/>
                    <a:ext cx="2973070" cy="107950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432" w:hanging="432"/>
      </w:pPr>
      <w:rPr/>
    </w:lvl>
    <w:lvl w:ilvl="1">
      <w:start w:val="1"/>
      <w:pStyle w:val="Heading2"/>
      <w:numFmt w:val="decimal"/>
      <w:lvlText w:val="%1.%2"/>
      <w:lvlJc w:val="start"/>
      <w:pPr>
        <w:tabs>
          <w:tab w:val="num" w:pos="0"/>
        </w:tabs>
        <w:ind w:start="576" w:hanging="576"/>
      </w:pPr>
      <w:rPr/>
    </w:lvl>
    <w:lvl w:ilvl="2">
      <w:start w:val="1"/>
      <w:pStyle w:val="Heading3"/>
      <w:numFmt w:val="decimal"/>
      <w:lvlText w:val="%1.%2.%3"/>
      <w:lvlJc w:val="start"/>
      <w:pPr>
        <w:tabs>
          <w:tab w:val="num" w:pos="0"/>
        </w:tabs>
        <w:ind w:start="720" w:hanging="720"/>
      </w:pPr>
      <w:rPr/>
    </w:lvl>
    <w:lvl w:ilvl="3">
      <w:start w:val="1"/>
      <w:pStyle w:val="Heading4"/>
      <w:numFmt w:val="decimal"/>
      <w:lvlText w:val="%1.%2.%3.%4"/>
      <w:lvlJc w:val="start"/>
      <w:pPr>
        <w:tabs>
          <w:tab w:val="num" w:pos="0"/>
        </w:tabs>
        <w:ind w:start="864" w:hanging="864"/>
      </w:pPr>
      <w:rPr/>
    </w:lvl>
    <w:lvl w:ilvl="4">
      <w:start w:val="1"/>
      <w:pStyle w:val="Heading5"/>
      <w:numFmt w:val="decimal"/>
      <w:lvlText w:val="%1.%2.%3.%4.%5"/>
      <w:lvlJc w:val="start"/>
      <w:pPr>
        <w:tabs>
          <w:tab w:val="num" w:pos="0"/>
        </w:tabs>
        <w:ind w:start="1008" w:hanging="1008"/>
      </w:pPr>
      <w:rPr/>
    </w:lvl>
    <w:lvl w:ilvl="5">
      <w:start w:val="1"/>
      <w:pStyle w:val="Heading6"/>
      <w:numFmt w:val="decimal"/>
      <w:lvlText w:val="%1.%2.%3.%4.%5.%6"/>
      <w:lvlJc w:val="start"/>
      <w:pPr>
        <w:tabs>
          <w:tab w:val="num" w:pos="0"/>
        </w:tabs>
        <w:ind w:start="1152" w:hanging="1152"/>
      </w:pPr>
      <w:rPr/>
    </w:lvl>
    <w:lvl w:ilvl="6">
      <w:start w:val="1"/>
      <w:pStyle w:val="Heading7"/>
      <w:numFmt w:val="decimal"/>
      <w:lvlText w:val="%1.%2.%3.%4.%5.%6.%7"/>
      <w:lvlJc w:val="start"/>
      <w:pPr>
        <w:tabs>
          <w:tab w:val="num" w:pos="0"/>
        </w:tabs>
        <w:ind w:start="1296" w:hanging="1296"/>
      </w:pPr>
      <w:rPr/>
    </w:lvl>
    <w:lvl w:ilvl="7">
      <w:start w:val="1"/>
      <w:pStyle w:val="Heading8"/>
      <w:numFmt w:val="decimal"/>
      <w:lvlText w:val="%1.%2.%3.%4.%5.%6.%7.%8"/>
      <w:lvlJc w:val="start"/>
      <w:pPr>
        <w:tabs>
          <w:tab w:val="num" w:pos="0"/>
        </w:tabs>
        <w:ind w:start="1440" w:hanging="1440"/>
      </w:pPr>
      <w:rPr/>
    </w:lvl>
    <w:lvl w:ilvl="8">
      <w:start w:val="1"/>
      <w:pStyle w:val="Heading9"/>
      <w:numFmt w:val="decimal"/>
      <w:lvlText w:val="%1.%2.%3.%4.%5.%6.%7.%8.%9"/>
      <w:lvlJc w:val="start"/>
      <w:pPr>
        <w:tabs>
          <w:tab w:val="num" w:pos="0"/>
        </w:tabs>
        <w:ind w:start="1584" w:hanging="1584"/>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720" w:hanging="360"/>
      </w:pPr>
      <w:rPr>
        <w:rFonts w:ascii="Symbol" w:hAnsi="Symbol" w:cs="Symbol" w:hint="default"/>
        <w:sz w:val="16"/>
        <w:szCs w:val="1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720" w:hanging="360"/>
      </w:pPr>
      <w:rPr>
        <w:rFonts w:ascii="Source Sans Pro" w:hAnsi="Source Sans Pro" w:eastAsia="Source Sans Pro" w:cs="Arial" w:asciiTheme="minorHAnsi" w:eastAsiaTheme="minorHAnsi" w:hAnsiTheme="minorHAnsi"/>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Source Sans Pro" w:hAnsi="Source Sans Pro" w:eastAsia="Source Sans Pro" w:cs="" w:asciiTheme="minorHAnsi" w:cstheme="minorBidi" w:eastAsiaTheme="minorHAnsi"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d3d36"/>
    <w:pPr>
      <w:widowControl/>
      <w:bidi w:val="0"/>
      <w:spacing w:lineRule="auto" w:line="240" w:before="0" w:after="120"/>
      <w:jc w:val="start"/>
    </w:pPr>
    <w:rPr>
      <w:rFonts w:ascii="Source Sans Pro" w:hAnsi="Source Sans Pro" w:eastAsia="Source Sans Pro" w:cs="" w:asciiTheme="minorHAnsi" w:cstheme="minorBidi" w:eastAsiaTheme="minorHAnsi" w:hAnsiTheme="minorHAnsi"/>
      <w:color w:val="auto"/>
      <w:kern w:val="0"/>
      <w:sz w:val="24"/>
      <w:szCs w:val="22"/>
      <w:lang w:val="de-DE" w:eastAsia="en-US" w:bidi="ar-SA"/>
    </w:rPr>
  </w:style>
  <w:style w:type="paragraph" w:styleId="Heading1">
    <w:name w:val="heading 1"/>
    <w:basedOn w:val="Normal"/>
    <w:next w:val="Normal"/>
    <w:link w:val="Heading1Char"/>
    <w:uiPriority w:val="9"/>
    <w:qFormat/>
    <w:rsid w:val="005c17d6"/>
    <w:pPr>
      <w:keepNext w:val="true"/>
      <w:keepLines/>
      <w:numPr>
        <w:ilvl w:val="0"/>
        <w:numId w:val="1"/>
      </w:numPr>
      <w:spacing w:before="360" w:after="120"/>
      <w:ind w:hanging="431" w:start="431"/>
      <w:outlineLvl w:val="0"/>
    </w:pPr>
    <w:rPr>
      <w:rFonts w:ascii="Source Sans Pro Bold" w:hAnsi="Source Sans Pro Bold" w:eastAsia="" w:cs="" w:asciiTheme="majorHAnsi" w:cstheme="majorBidi" w:eastAsiaTheme="majorEastAsia" w:hAnsiTheme="majorHAnsi"/>
      <w:color w:val="0060AF"/>
      <w:sz w:val="32"/>
      <w:szCs w:val="32"/>
    </w:rPr>
  </w:style>
  <w:style w:type="paragraph" w:styleId="Heading2">
    <w:name w:val="heading 2"/>
    <w:basedOn w:val="Normal"/>
    <w:next w:val="Normal"/>
    <w:link w:val="Heading2Char"/>
    <w:uiPriority w:val="9"/>
    <w:unhideWhenUsed/>
    <w:qFormat/>
    <w:rsid w:val="005c17d6"/>
    <w:pPr>
      <w:keepNext w:val="true"/>
      <w:keepLines/>
      <w:numPr>
        <w:ilvl w:val="1"/>
        <w:numId w:val="1"/>
      </w:numPr>
      <w:spacing w:before="240" w:after="120"/>
      <w:ind w:hanging="578" w:start="578"/>
      <w:outlineLvl w:val="1"/>
    </w:pPr>
    <w:rPr>
      <w:rFonts w:ascii="Source Sans Pro Bold" w:hAnsi="Source Sans Pro Bold" w:eastAsia="" w:cs="" w:asciiTheme="majorHAnsi" w:cstheme="majorBidi" w:eastAsiaTheme="majorEastAsia" w:hAnsiTheme="majorHAnsi"/>
      <w:color w:val="0060AF"/>
      <w:szCs w:val="26"/>
    </w:rPr>
  </w:style>
  <w:style w:type="paragraph" w:styleId="Heading3">
    <w:name w:val="heading 3"/>
    <w:basedOn w:val="Normal"/>
    <w:next w:val="Normal"/>
    <w:link w:val="Heading3Char"/>
    <w:uiPriority w:val="9"/>
    <w:unhideWhenUsed/>
    <w:qFormat/>
    <w:rsid w:val="005c17d6"/>
    <w:pPr>
      <w:keepNext w:val="true"/>
      <w:keepLines/>
      <w:numPr>
        <w:ilvl w:val="2"/>
        <w:numId w:val="1"/>
      </w:numPr>
      <w:spacing w:before="120" w:after="120"/>
      <w:outlineLvl w:val="2"/>
    </w:pPr>
    <w:rPr>
      <w:rFonts w:ascii="Source Sans Pro Bold" w:hAnsi="Source Sans Pro Bold" w:eastAsia="" w:cs="" w:asciiTheme="majorHAnsi" w:cstheme="majorBidi" w:eastAsiaTheme="majorEastAsia" w:hAnsiTheme="majorHAnsi"/>
      <w:color w:val="0060AF"/>
      <w:szCs w:val="24"/>
    </w:rPr>
  </w:style>
  <w:style w:type="paragraph" w:styleId="Heading4">
    <w:name w:val="heading 4"/>
    <w:basedOn w:val="Normal"/>
    <w:next w:val="Normal"/>
    <w:link w:val="Heading4Char"/>
    <w:uiPriority w:val="9"/>
    <w:unhideWhenUsed/>
    <w:qFormat/>
    <w:rsid w:val="001d26f3"/>
    <w:pPr>
      <w:keepNext w:val="true"/>
      <w:keepLines/>
      <w:numPr>
        <w:ilvl w:val="3"/>
        <w:numId w:val="1"/>
      </w:numPr>
      <w:spacing w:before="120" w:after="120"/>
      <w:ind w:hanging="862" w:start="862"/>
      <w:outlineLvl w:val="3"/>
    </w:pPr>
    <w:rPr>
      <w:rFonts w:ascii="Source Sans Pro Bold" w:hAnsi="Source Sans Pro Bold" w:eastAsia="" w:cs="" w:asciiTheme="majorHAnsi" w:cstheme="majorBidi" w:eastAsiaTheme="majorEastAsia" w:hAnsiTheme="majorHAnsi"/>
      <w:iCs/>
      <w:color w:val="0060AF"/>
    </w:rPr>
  </w:style>
  <w:style w:type="paragraph" w:styleId="Heading5">
    <w:name w:val="heading 5"/>
    <w:basedOn w:val="Normal"/>
    <w:next w:val="Normal"/>
    <w:link w:val="Heading5Char"/>
    <w:uiPriority w:val="9"/>
    <w:semiHidden/>
    <w:unhideWhenUsed/>
    <w:qFormat/>
    <w:rsid w:val="001d26f3"/>
    <w:pPr>
      <w:keepNext w:val="true"/>
      <w:keepLines/>
      <w:numPr>
        <w:ilvl w:val="4"/>
        <w:numId w:val="1"/>
      </w:numPr>
      <w:spacing w:before="40" w:after="0"/>
      <w:outlineLvl w:val="4"/>
    </w:pPr>
    <w:rPr>
      <w:rFonts w:ascii="Source Sans Pro Bold" w:hAnsi="Source Sans Pro Bold" w:eastAsia="" w:cs="" w:asciiTheme="majorHAnsi" w:cstheme="majorBidi" w:eastAsiaTheme="majorEastAsia" w:hAnsiTheme="majorHAnsi"/>
      <w:color w:themeColor="accent1" w:themeShade="bf" w:val="002547"/>
    </w:rPr>
  </w:style>
  <w:style w:type="paragraph" w:styleId="Heading6">
    <w:name w:val="heading 6"/>
    <w:basedOn w:val="Normal"/>
    <w:next w:val="Normal"/>
    <w:link w:val="Heading6Char"/>
    <w:uiPriority w:val="9"/>
    <w:semiHidden/>
    <w:unhideWhenUsed/>
    <w:qFormat/>
    <w:rsid w:val="001d26f3"/>
    <w:pPr>
      <w:keepNext w:val="true"/>
      <w:keepLines/>
      <w:numPr>
        <w:ilvl w:val="5"/>
        <w:numId w:val="1"/>
      </w:numPr>
      <w:spacing w:before="40" w:after="0"/>
      <w:outlineLvl w:val="5"/>
    </w:pPr>
    <w:rPr>
      <w:rFonts w:ascii="Source Sans Pro Bold" w:hAnsi="Source Sans Pro Bold" w:eastAsia="" w:cs="" w:asciiTheme="majorHAnsi" w:cstheme="majorBidi" w:eastAsiaTheme="majorEastAsia" w:hAnsiTheme="majorHAnsi"/>
      <w:color w:themeColor="accent1" w:themeShade="7f" w:val="00182F"/>
    </w:rPr>
  </w:style>
  <w:style w:type="paragraph" w:styleId="Heading7">
    <w:name w:val="heading 7"/>
    <w:basedOn w:val="Normal"/>
    <w:next w:val="Normal"/>
    <w:link w:val="Heading7Char"/>
    <w:uiPriority w:val="9"/>
    <w:semiHidden/>
    <w:unhideWhenUsed/>
    <w:qFormat/>
    <w:rsid w:val="001d26f3"/>
    <w:pPr>
      <w:keepNext w:val="true"/>
      <w:keepLines/>
      <w:numPr>
        <w:ilvl w:val="6"/>
        <w:numId w:val="1"/>
      </w:numPr>
      <w:spacing w:before="40" w:after="0"/>
      <w:outlineLvl w:val="6"/>
    </w:pPr>
    <w:rPr>
      <w:rFonts w:ascii="Source Sans Pro Bold" w:hAnsi="Source Sans Pro Bold" w:eastAsia="" w:cs="" w:asciiTheme="majorHAnsi" w:cstheme="majorBidi" w:eastAsiaTheme="majorEastAsia" w:hAnsiTheme="majorHAnsi"/>
      <w:i/>
      <w:iCs/>
      <w:color w:themeColor="accent1" w:themeShade="7f" w:val="00182F"/>
    </w:rPr>
  </w:style>
  <w:style w:type="paragraph" w:styleId="Heading8">
    <w:name w:val="heading 8"/>
    <w:basedOn w:val="Normal"/>
    <w:next w:val="Normal"/>
    <w:link w:val="Heading8Char"/>
    <w:uiPriority w:val="9"/>
    <w:semiHidden/>
    <w:unhideWhenUsed/>
    <w:qFormat/>
    <w:rsid w:val="001d26f3"/>
    <w:pPr>
      <w:keepNext w:val="true"/>
      <w:keepLines/>
      <w:numPr>
        <w:ilvl w:val="7"/>
        <w:numId w:val="1"/>
      </w:numPr>
      <w:spacing w:before="40" w:after="0"/>
      <w:outlineLvl w:val="7"/>
    </w:pPr>
    <w:rPr>
      <w:rFonts w:ascii="Source Sans Pro Bold" w:hAnsi="Source Sans Pro Bold"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Heading9Char"/>
    <w:uiPriority w:val="9"/>
    <w:semiHidden/>
    <w:unhideWhenUsed/>
    <w:qFormat/>
    <w:rsid w:val="001d26f3"/>
    <w:pPr>
      <w:keepNext w:val="true"/>
      <w:keepLines/>
      <w:numPr>
        <w:ilvl w:val="8"/>
        <w:numId w:val="1"/>
      </w:numPr>
      <w:spacing w:before="40" w:after="0"/>
      <w:outlineLvl w:val="8"/>
    </w:pPr>
    <w:rPr>
      <w:rFonts w:ascii="Source Sans Pro Bold" w:hAnsi="Source Sans Pro Bold"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18136a"/>
    <w:rPr/>
  </w:style>
  <w:style w:type="character" w:styleId="FooterChar" w:customStyle="1">
    <w:name w:val="Footer Char"/>
    <w:basedOn w:val="DefaultParagraphFont"/>
    <w:link w:val="Footer"/>
    <w:uiPriority w:val="99"/>
    <w:qFormat/>
    <w:rsid w:val="0018136a"/>
    <w:rPr/>
  </w:style>
  <w:style w:type="character" w:styleId="EndnoteTextChar" w:customStyle="1">
    <w:name w:val="Endnote Text Char"/>
    <w:basedOn w:val="DefaultParagraphFont"/>
    <w:link w:val="EndnoteText"/>
    <w:uiPriority w:val="99"/>
    <w:semiHidden/>
    <w:qFormat/>
    <w:rsid w:val="00bc0046"/>
    <w:rPr>
      <w:sz w:val="20"/>
      <w:szCs w:val="20"/>
    </w:rPr>
  </w:style>
  <w:style w:type="character" w:styleId="EndnoteCharacters">
    <w:name w:val="Endnote Characters"/>
    <w:basedOn w:val="DefaultParagraphFont"/>
    <w:uiPriority w:val="99"/>
    <w:semiHidden/>
    <w:unhideWhenUsed/>
    <w:qFormat/>
    <w:rsid w:val="00bc0046"/>
    <w:rPr>
      <w:vertAlign w:val="superscript"/>
    </w:rPr>
  </w:style>
  <w:style w:type="character" w:styleId="EndnoteReference">
    <w:name w:val="endnote reference"/>
    <w:rPr>
      <w:vertAlign w:val="superscript"/>
    </w:rPr>
  </w:style>
  <w:style w:type="character" w:styleId="Heading1Char" w:customStyle="1">
    <w:name w:val="Heading 1 Char"/>
    <w:basedOn w:val="DefaultParagraphFont"/>
    <w:link w:val="Heading1"/>
    <w:uiPriority w:val="9"/>
    <w:qFormat/>
    <w:rsid w:val="005c17d6"/>
    <w:rPr>
      <w:rFonts w:ascii="Source Sans Pro Bold" w:hAnsi="Source Sans Pro Bold" w:eastAsia="" w:cs="" w:asciiTheme="majorHAnsi" w:cstheme="majorBidi" w:eastAsiaTheme="majorEastAsia" w:hAnsiTheme="majorHAnsi"/>
      <w:color w:val="0060AF"/>
      <w:sz w:val="32"/>
      <w:szCs w:val="32"/>
    </w:rPr>
  </w:style>
  <w:style w:type="character" w:styleId="Heading2Char" w:customStyle="1">
    <w:name w:val="Heading 2 Char"/>
    <w:basedOn w:val="DefaultParagraphFont"/>
    <w:link w:val="Heading2"/>
    <w:uiPriority w:val="9"/>
    <w:qFormat/>
    <w:rsid w:val="005c17d6"/>
    <w:rPr>
      <w:rFonts w:ascii="Source Sans Pro Bold" w:hAnsi="Source Sans Pro Bold" w:eastAsia="" w:cs="" w:asciiTheme="majorHAnsi" w:cstheme="majorBidi" w:eastAsiaTheme="majorEastAsia" w:hAnsiTheme="majorHAnsi"/>
      <w:color w:val="0060AF"/>
      <w:sz w:val="24"/>
      <w:szCs w:val="26"/>
    </w:rPr>
  </w:style>
  <w:style w:type="character" w:styleId="Heading3Char" w:customStyle="1">
    <w:name w:val="Heading 3 Char"/>
    <w:basedOn w:val="DefaultParagraphFont"/>
    <w:link w:val="Heading3"/>
    <w:uiPriority w:val="9"/>
    <w:qFormat/>
    <w:rsid w:val="005c17d6"/>
    <w:rPr>
      <w:rFonts w:ascii="Source Sans Pro Bold" w:hAnsi="Source Sans Pro Bold" w:eastAsia="" w:cs="" w:asciiTheme="majorHAnsi" w:cstheme="majorBidi" w:eastAsiaTheme="majorEastAsia" w:hAnsiTheme="majorHAnsi"/>
      <w:color w:val="0060AF"/>
      <w:sz w:val="24"/>
      <w:szCs w:val="24"/>
    </w:rPr>
  </w:style>
  <w:style w:type="character" w:styleId="Heading4Char" w:customStyle="1">
    <w:name w:val="Heading 4 Char"/>
    <w:basedOn w:val="DefaultParagraphFont"/>
    <w:link w:val="Heading4"/>
    <w:uiPriority w:val="9"/>
    <w:qFormat/>
    <w:rsid w:val="001d26f3"/>
    <w:rPr>
      <w:rFonts w:ascii="Source Sans Pro Bold" w:hAnsi="Source Sans Pro Bold" w:eastAsia="" w:cs="" w:asciiTheme="majorHAnsi" w:cstheme="majorBidi" w:eastAsiaTheme="majorEastAsia" w:hAnsiTheme="majorHAnsi"/>
      <w:iCs/>
      <w:color w:val="0060AF"/>
      <w:sz w:val="24"/>
    </w:rPr>
  </w:style>
  <w:style w:type="character" w:styleId="Heading5Char" w:customStyle="1">
    <w:name w:val="Heading 5 Char"/>
    <w:basedOn w:val="DefaultParagraphFont"/>
    <w:link w:val="Heading5"/>
    <w:uiPriority w:val="9"/>
    <w:semiHidden/>
    <w:qFormat/>
    <w:rsid w:val="001d26f3"/>
    <w:rPr>
      <w:rFonts w:ascii="Source Sans Pro Bold" w:hAnsi="Source Sans Pro Bold" w:eastAsia="" w:cs="" w:asciiTheme="majorHAnsi" w:cstheme="majorBidi" w:eastAsiaTheme="majorEastAsia" w:hAnsiTheme="majorHAnsi"/>
      <w:color w:themeColor="accent1" w:themeShade="bf" w:val="002547"/>
      <w:sz w:val="24"/>
    </w:rPr>
  </w:style>
  <w:style w:type="character" w:styleId="Heading6Char" w:customStyle="1">
    <w:name w:val="Heading 6 Char"/>
    <w:basedOn w:val="DefaultParagraphFont"/>
    <w:link w:val="Heading6"/>
    <w:uiPriority w:val="9"/>
    <w:semiHidden/>
    <w:qFormat/>
    <w:rsid w:val="001d26f3"/>
    <w:rPr>
      <w:rFonts w:ascii="Source Sans Pro Bold" w:hAnsi="Source Sans Pro Bold" w:eastAsia="" w:cs="" w:asciiTheme="majorHAnsi" w:cstheme="majorBidi" w:eastAsiaTheme="majorEastAsia" w:hAnsiTheme="majorHAnsi"/>
      <w:color w:themeColor="accent1" w:themeShade="7f" w:val="00182F"/>
      <w:sz w:val="24"/>
    </w:rPr>
  </w:style>
  <w:style w:type="character" w:styleId="Heading7Char" w:customStyle="1">
    <w:name w:val="Heading 7 Char"/>
    <w:basedOn w:val="DefaultParagraphFont"/>
    <w:link w:val="Heading7"/>
    <w:uiPriority w:val="9"/>
    <w:semiHidden/>
    <w:qFormat/>
    <w:rsid w:val="001d26f3"/>
    <w:rPr>
      <w:rFonts w:ascii="Source Sans Pro Bold" w:hAnsi="Source Sans Pro Bold" w:eastAsia="" w:cs="" w:asciiTheme="majorHAnsi" w:cstheme="majorBidi" w:eastAsiaTheme="majorEastAsia" w:hAnsiTheme="majorHAnsi"/>
      <w:i/>
      <w:iCs/>
      <w:color w:themeColor="accent1" w:themeShade="7f" w:val="00182F"/>
      <w:sz w:val="24"/>
    </w:rPr>
  </w:style>
  <w:style w:type="character" w:styleId="Heading8Char" w:customStyle="1">
    <w:name w:val="Heading 8 Char"/>
    <w:basedOn w:val="DefaultParagraphFont"/>
    <w:link w:val="Heading8"/>
    <w:uiPriority w:val="9"/>
    <w:semiHidden/>
    <w:qFormat/>
    <w:rsid w:val="001d26f3"/>
    <w:rPr>
      <w:rFonts w:ascii="Source Sans Pro Bold" w:hAnsi="Source Sans Pro Bold" w:eastAsia="" w:cs="" w:asciiTheme="majorHAnsi" w:cstheme="majorBidi" w:eastAsiaTheme="majorEastAsia" w:hAnsiTheme="majorHAnsi"/>
      <w:color w:themeColor="text1" w:themeTint="d8" w:val="272727"/>
      <w:sz w:val="21"/>
      <w:szCs w:val="21"/>
    </w:rPr>
  </w:style>
  <w:style w:type="character" w:styleId="Heading9Char" w:customStyle="1">
    <w:name w:val="Heading 9 Char"/>
    <w:basedOn w:val="DefaultParagraphFont"/>
    <w:link w:val="Heading9"/>
    <w:uiPriority w:val="9"/>
    <w:semiHidden/>
    <w:qFormat/>
    <w:rsid w:val="001d26f3"/>
    <w:rPr>
      <w:rFonts w:ascii="Source Sans Pro Bold" w:hAnsi="Source Sans Pro Bold" w:eastAsia="" w:cs="" w:asciiTheme="majorHAnsi" w:cstheme="majorBidi" w:eastAsiaTheme="majorEastAsia" w:hAnsiTheme="majorHAnsi"/>
      <w:i/>
      <w:iCs/>
      <w:color w:themeColor="text1" w:themeTint="d8" w:val="272727"/>
      <w:sz w:val="21"/>
      <w:szCs w:val="21"/>
    </w:rPr>
  </w:style>
  <w:style w:type="character" w:styleId="Hyperlink">
    <w:name w:val="Hyperlink"/>
    <w:basedOn w:val="DefaultParagraphFont"/>
    <w:uiPriority w:val="99"/>
    <w:unhideWhenUsed/>
    <w:rsid w:val="005c17d6"/>
    <w:rPr>
      <w:color w:themeColor="hyperlink" w:val="0060AF"/>
      <w:u w:val="single"/>
    </w:rPr>
  </w:style>
  <w:style w:type="character" w:styleId="PlaceholderText">
    <w:name w:val="Placeholder Text"/>
    <w:basedOn w:val="DefaultParagraphFont"/>
    <w:uiPriority w:val="99"/>
    <w:semiHidden/>
    <w:qFormat/>
    <w:rsid w:val="0048428e"/>
    <w:rPr>
      <w:color w:val="808080"/>
    </w:rPr>
  </w:style>
  <w:style w:type="character" w:styleId="Formatvorlage2" w:customStyle="1">
    <w:name w:val="Formatvorlage2"/>
    <w:basedOn w:val="DefaultParagraphFont"/>
    <w:uiPriority w:val="1"/>
    <w:qFormat/>
    <w:rsid w:val="0048428e"/>
    <w:rPr>
      <w:rFonts w:ascii="Arial" w:hAnsi="Arial"/>
      <w:color w:val="auto"/>
      <w:sz w:val="22"/>
    </w:rPr>
  </w:style>
  <w:style w:type="character" w:styleId="CommentReference">
    <w:name w:val="annotation reference"/>
    <w:basedOn w:val="DefaultParagraphFont"/>
    <w:uiPriority w:val="99"/>
    <w:semiHidden/>
    <w:unhideWhenUsed/>
    <w:qFormat/>
    <w:rsid w:val="00d12388"/>
    <w:rPr>
      <w:sz w:val="16"/>
      <w:szCs w:val="16"/>
    </w:rPr>
  </w:style>
  <w:style w:type="character" w:styleId="CommentTextChar" w:customStyle="1">
    <w:name w:val="Comment Text Char"/>
    <w:basedOn w:val="DefaultParagraphFont"/>
    <w:link w:val="CommentText"/>
    <w:uiPriority w:val="99"/>
    <w:qFormat/>
    <w:rsid w:val="00d12388"/>
    <w:rPr>
      <w:rFonts w:ascii="Arial" w:hAnsi="Arial" w:cs="Arial"/>
      <w:sz w:val="20"/>
      <w:szCs w:val="20"/>
    </w:rPr>
  </w:style>
  <w:style w:type="character" w:styleId="Formatvorlage3" w:customStyle="1">
    <w:name w:val="Formatvorlage3"/>
    <w:basedOn w:val="DefaultParagraphFont"/>
    <w:uiPriority w:val="1"/>
    <w:qFormat/>
    <w:rsid w:val="00d12388"/>
    <w:rPr>
      <w:rFonts w:ascii="Arial" w:hAnsi="Arial"/>
      <w:b/>
      <w:sz w:val="22"/>
    </w:rPr>
  </w:style>
  <w:style w:type="character" w:styleId="FootnoteTextChar" w:customStyle="1">
    <w:name w:val="Footnote Text Char"/>
    <w:basedOn w:val="DefaultParagraphFont"/>
    <w:link w:val="FootnoteText"/>
    <w:uiPriority w:val="99"/>
    <w:qFormat/>
    <w:rsid w:val="00d12388"/>
    <w:rPr>
      <w:rFonts w:ascii="Arial" w:hAnsi="Arial" w:cs="Arial"/>
      <w:sz w:val="20"/>
      <w:szCs w:val="20"/>
    </w:rPr>
  </w:style>
  <w:style w:type="character" w:styleId="FootnoteCharacters">
    <w:name w:val="Footnote Characters"/>
    <w:basedOn w:val="DefaultParagraphFont"/>
    <w:uiPriority w:val="99"/>
    <w:semiHidden/>
    <w:unhideWhenUsed/>
    <w:qFormat/>
    <w:rsid w:val="00d12388"/>
    <w:rPr>
      <w:vertAlign w:val="superscript"/>
    </w:rPr>
  </w:style>
  <w:style w:type="character" w:styleId="FootnoteReference">
    <w:name w:val="footnote reference"/>
    <w:rPr>
      <w:vertAlign w:val="superscript"/>
    </w:rPr>
  </w:style>
  <w:style w:type="character" w:styleId="Formatvorlage9" w:customStyle="1">
    <w:name w:val="Formatvorlage9"/>
    <w:basedOn w:val="DefaultParagraphFont"/>
    <w:uiPriority w:val="1"/>
    <w:qFormat/>
    <w:rsid w:val="00d12388"/>
    <w:rPr>
      <w:rFonts w:ascii="Arial" w:hAnsi="Arial"/>
      <w:sz w:val="20"/>
    </w:rPr>
  </w:style>
  <w:style w:type="character" w:styleId="Formatvorlage10" w:customStyle="1">
    <w:name w:val="Formatvorlage10"/>
    <w:basedOn w:val="DefaultParagraphFont"/>
    <w:uiPriority w:val="1"/>
    <w:qFormat/>
    <w:rsid w:val="001f7760"/>
    <w:rPr>
      <w:rFonts w:ascii="Arial" w:hAnsi="Arial"/>
      <w:b/>
      <w:sz w:val="20"/>
    </w:rPr>
  </w:style>
  <w:style w:type="character" w:styleId="Formatvorlage4" w:customStyle="1">
    <w:name w:val="Formatvorlage4"/>
    <w:basedOn w:val="DefaultParagraphFont"/>
    <w:uiPriority w:val="1"/>
    <w:qFormat/>
    <w:rsid w:val="00cb6471"/>
    <w:rPr>
      <w:rFonts w:ascii="Source Sans Pro" w:hAnsi="Source Sans Pro" w:asciiTheme="minorHAnsi" w:hAnsiTheme="minorHAnsi"/>
      <w:color w:themeColor="text1" w:val="000000"/>
      <w:sz w:val="20"/>
    </w:rPr>
  </w:style>
  <w:style w:type="character" w:styleId="Formatvorlage1" w:customStyle="1">
    <w:name w:val="Formatvorlage1"/>
    <w:basedOn w:val="DefaultParagraphFont"/>
    <w:uiPriority w:val="1"/>
    <w:qFormat/>
    <w:rsid w:val="00cb6471"/>
    <w:rPr>
      <w:rFonts w:ascii="Source Sans Pro" w:hAnsi="Source Sans Pro" w:asciiTheme="minorHAnsi" w:hAnsiTheme="minorHAnsi"/>
      <w:color w:themeColor="text1" w:val="000000"/>
      <w:sz w:val="20"/>
    </w:rPr>
  </w:style>
  <w:style w:type="character" w:styleId="Formatvorlage5" w:customStyle="1">
    <w:name w:val="Formatvorlage5"/>
    <w:basedOn w:val="DefaultParagraphFont"/>
    <w:uiPriority w:val="1"/>
    <w:qFormat/>
    <w:rsid w:val="00cb6471"/>
    <w:rPr>
      <w:rFonts w:ascii="Source Sans Pro" w:hAnsi="Source Sans Pro" w:asciiTheme="minorHAnsi" w:hAnsiTheme="minorHAnsi"/>
      <w:b/>
      <w:color w:themeColor="text1" w:val="000000"/>
      <w:sz w:val="20"/>
    </w:rPr>
  </w:style>
  <w:style w:type="character" w:styleId="CommentSubjectChar" w:customStyle="1">
    <w:name w:val="Comment Subject Char"/>
    <w:basedOn w:val="CommentTextChar"/>
    <w:link w:val="annotationsubject"/>
    <w:uiPriority w:val="99"/>
    <w:semiHidden/>
    <w:qFormat/>
    <w:rsid w:val="005d01ae"/>
    <w:rPr>
      <w:rFonts w:ascii="Arial" w:hAnsi="Arial" w:cs="Arial"/>
      <w:b/>
      <w:bCs/>
      <w:sz w:val="20"/>
      <w:szCs w:val="20"/>
    </w:rPr>
  </w:style>
  <w:style w:type="character" w:styleId="Formatvorlage6" w:customStyle="1">
    <w:name w:val="Formatvorlage6"/>
    <w:basedOn w:val="DefaultParagraphFont"/>
    <w:uiPriority w:val="1"/>
    <w:qFormat/>
    <w:rsid w:val="005b6184"/>
    <w:rPr>
      <w:rFonts w:ascii="Source Sans Pro" w:hAnsi="Source Sans Pro" w:asciiTheme="minorHAnsi" w:hAnsiTheme="minorHAnsi"/>
      <w:b/>
      <w:sz w:val="22"/>
    </w:rPr>
  </w:style>
  <w:style w:type="character" w:styleId="Formatvorlage7" w:customStyle="1">
    <w:name w:val="Formatvorlage7"/>
    <w:basedOn w:val="DefaultParagraphFont"/>
    <w:uiPriority w:val="1"/>
    <w:qFormat/>
    <w:rsid w:val="005b6184"/>
    <w:rPr>
      <w:rFonts w:ascii="Source Sans Pro" w:hAnsi="Source Sans Pro" w:asciiTheme="minorHAnsi" w:hAnsiTheme="minorHAnsi"/>
      <w:sz w:val="22"/>
    </w:rPr>
  </w:style>
  <w:style w:type="character" w:styleId="Formatvorlage8" w:customStyle="1">
    <w:name w:val="Formatvorlage8"/>
    <w:basedOn w:val="DefaultParagraphFont"/>
    <w:uiPriority w:val="1"/>
    <w:qFormat/>
    <w:rsid w:val="005b6184"/>
    <w:rPr>
      <w:rFonts w:ascii="Source Sans Pro" w:hAnsi="Source Sans Pro" w:asciiTheme="minorHAnsi" w:hAnsiTheme="minorHAnsi"/>
      <w:color w:val="auto"/>
      <w:sz w:val="20"/>
    </w:rPr>
  </w:style>
  <w:style w:type="character" w:styleId="Strong">
    <w:name w:val="Strong"/>
    <w:basedOn w:val="DefaultParagraphFont"/>
    <w:uiPriority w:val="22"/>
    <w:qFormat/>
    <w:rsid w:val="008b3983"/>
    <w:rPr>
      <w:b/>
      <w:bCs/>
    </w:rPr>
  </w:style>
  <w:style w:type="character" w:styleId="Formatvorlage11" w:customStyle="1">
    <w:name w:val="Formatvorlage11"/>
    <w:basedOn w:val="DefaultParagraphFont"/>
    <w:uiPriority w:val="1"/>
    <w:qFormat/>
    <w:rsid w:val="00b351f8"/>
    <w:rPr>
      <w:rFonts w:ascii="Source Sans Pro" w:hAnsi="Source Sans Pro"/>
      <w:color w:val="auto"/>
      <w:sz w:val="22"/>
    </w:rPr>
  </w:style>
  <w:style w:type="character" w:styleId="Formatvorlage12" w:customStyle="1">
    <w:name w:val="Formatvorlage12"/>
    <w:basedOn w:val="DefaultParagraphFont"/>
    <w:uiPriority w:val="1"/>
    <w:qFormat/>
    <w:rsid w:val="00b351f8"/>
    <w:rPr>
      <w:rFonts w:ascii="Source Sans Pro" w:hAnsi="Source Sans Pro"/>
      <w:b/>
      <w:sz w:val="22"/>
    </w:rPr>
  </w:style>
  <w:style w:type="character" w:styleId="cf01" w:customStyle="1">
    <w:name w:val="cf01"/>
    <w:basedOn w:val="DefaultParagraphFont"/>
    <w:qFormat/>
    <w:rsid w:val="00df5201"/>
    <w:rPr>
      <w:rFonts w:ascii="Segoe UI" w:hAnsi="Segoe UI" w:cs="Segoe UI"/>
      <w:b/>
      <w:bCs/>
      <w:i/>
      <w:iCs/>
      <w:sz w:val="18"/>
      <w:szCs w:val="18"/>
      <w:u w:val="single"/>
    </w:rPr>
  </w:style>
  <w:style w:type="character" w:styleId="cf11" w:customStyle="1">
    <w:name w:val="cf11"/>
    <w:basedOn w:val="DefaultParagraphFont"/>
    <w:qFormat/>
    <w:rsid w:val="00df5201"/>
    <w:rPr>
      <w:rFonts w:ascii="Segoe UI" w:hAnsi="Segoe UI" w:cs="Segoe UI"/>
      <w:i/>
      <w:iCs/>
      <w:sz w:val="18"/>
      <w:szCs w:val="18"/>
      <w:u w:val="single"/>
    </w:rPr>
  </w:style>
  <w:style w:type="character" w:styleId="cf31" w:customStyle="1">
    <w:name w:val="cf31"/>
    <w:basedOn w:val="DefaultParagraphFont"/>
    <w:qFormat/>
    <w:rsid w:val="00df5201"/>
    <w:rPr>
      <w:rFonts w:ascii="Segoe UI" w:hAnsi="Segoe UI" w:cs="Segoe UI"/>
      <w:i/>
      <w:iCs/>
      <w:sz w:val="18"/>
      <w:szCs w:val="18"/>
    </w:rPr>
  </w:style>
  <w:style w:type="character" w:styleId="cf41" w:customStyle="1">
    <w:name w:val="cf41"/>
    <w:basedOn w:val="DefaultParagraphFont"/>
    <w:qFormat/>
    <w:rsid w:val="00df5201"/>
    <w:rPr>
      <w:rFonts w:ascii="Segoe UI" w:hAnsi="Segoe UI" w:cs="Segoe UI"/>
      <w:b/>
      <w:bCs/>
      <w:i/>
      <w:iCs/>
      <w:sz w:val="18"/>
      <w:szCs w:val="18"/>
    </w:rPr>
  </w:style>
  <w:style w:type="character" w:styleId="UnresolvedMention">
    <w:name w:val="Unresolved Mention"/>
    <w:basedOn w:val="DefaultParagraphFont"/>
    <w:uiPriority w:val="99"/>
    <w:semiHidden/>
    <w:unhideWhenUsed/>
    <w:qFormat/>
    <w:rsid w:val="009a28d9"/>
    <w:rPr>
      <w:color w:val="605E5C"/>
      <w:shd w:fill="E1DFDD" w:val="clear"/>
    </w:rPr>
  </w:style>
  <w:style w:type="character" w:styleId="1-H1Zchn" w:customStyle="1">
    <w:name w:val="1-H1 Zchn"/>
    <w:basedOn w:val="DefaultParagraphFont"/>
    <w:link w:val="1-H1"/>
    <w:qFormat/>
    <w:rsid w:val="000f7bc5"/>
    <w:rPr>
      <w:rFonts w:ascii="Source Sans Pro Black" w:hAnsi="Source Sans Pro Black" w:cs="Porsche Next TT"/>
      <w:b/>
      <w:color w:val="0060AF"/>
      <w:sz w:val="32"/>
      <w:szCs w:val="40"/>
    </w:rPr>
  </w:style>
  <w:style w:type="character" w:styleId="3-H3Zchn" w:customStyle="1">
    <w:name w:val="3-H3 Zchn"/>
    <w:basedOn w:val="DefaultParagraphFont"/>
    <w:link w:val="3-H3"/>
    <w:qFormat/>
    <w:rsid w:val="000f7bc5"/>
    <w:rPr>
      <w:rFonts w:ascii="Source Sans Pro" w:hAnsi="Source Sans Pro"/>
      <w:b/>
      <w:color w:val="00325F"/>
      <w:szCs w:val="28"/>
    </w:rPr>
  </w:style>
  <w:style w:type="character" w:styleId="PlainTextChar" w:customStyle="1">
    <w:name w:val="Plain Text Char"/>
    <w:basedOn w:val="DefaultParagraphFont"/>
    <w:link w:val="PlainText"/>
    <w:uiPriority w:val="99"/>
    <w:semiHidden/>
    <w:qFormat/>
    <w:rsid w:val="00a40767"/>
    <w:rPr>
      <w:rFonts w:ascii="Arial" w:hAnsi="Arial" w:eastAsia="Times New Roman" w:cs="Times New Roman"/>
      <w:szCs w:val="21"/>
    </w:rPr>
  </w:style>
  <w:style w:type="character" w:styleId="FollowedHyperlink">
    <w:name w:val="FollowedHyperlink"/>
    <w:basedOn w:val="DefaultParagraphFont"/>
    <w:uiPriority w:val="99"/>
    <w:semiHidden/>
    <w:unhideWhenUsed/>
    <w:rsid w:val="00ff5276"/>
    <w:rPr>
      <w:color w:themeColor="followedHyperlink" w:val="00A091"/>
      <w:u w:val="single"/>
    </w:rPr>
  </w:style>
  <w:style w:type="paragraph" w:styleId="Heading">
    <w:name w:val="Heading"/>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18136a"/>
    <w:pPr>
      <w:tabs>
        <w:tab w:val="clear" w:pos="708"/>
        <w:tab w:val="center" w:pos="4536" w:leader="none"/>
        <w:tab w:val="right" w:pos="9072" w:leader="none"/>
      </w:tabs>
      <w:spacing w:before="0" w:after="0"/>
    </w:pPr>
    <w:rPr/>
  </w:style>
  <w:style w:type="paragraph" w:styleId="Footer">
    <w:name w:val="footer"/>
    <w:basedOn w:val="Normal"/>
    <w:link w:val="FooterChar"/>
    <w:uiPriority w:val="99"/>
    <w:unhideWhenUsed/>
    <w:rsid w:val="0018136a"/>
    <w:pPr>
      <w:tabs>
        <w:tab w:val="clear" w:pos="708"/>
        <w:tab w:val="center" w:pos="4536" w:leader="none"/>
        <w:tab w:val="right" w:pos="9072" w:leader="none"/>
      </w:tabs>
      <w:spacing w:before="0" w:after="0"/>
    </w:pPr>
    <w:rPr/>
  </w:style>
  <w:style w:type="paragraph" w:styleId="EndnoteText">
    <w:name w:val="endnote text"/>
    <w:basedOn w:val="Normal"/>
    <w:link w:val="EndnoteTextChar"/>
    <w:uiPriority w:val="99"/>
    <w:semiHidden/>
    <w:unhideWhenUsed/>
    <w:rsid w:val="00bc0046"/>
    <w:pPr>
      <w:spacing w:before="0" w:after="0"/>
    </w:pPr>
    <w:rPr>
      <w:sz w:val="20"/>
      <w:szCs w:val="20"/>
    </w:rPr>
  </w:style>
  <w:style w:type="paragraph" w:styleId="NoSpacing">
    <w:name w:val="No Spacing"/>
    <w:uiPriority w:val="1"/>
    <w:qFormat/>
    <w:rsid w:val="00d73a48"/>
    <w:pPr>
      <w:widowControl/>
      <w:bidi w:val="0"/>
      <w:spacing w:lineRule="auto" w:line="240" w:before="0" w:after="120"/>
      <w:jc w:val="both"/>
    </w:pPr>
    <w:rPr>
      <w:rFonts w:ascii="Source Sans Pro" w:hAnsi="Source Sans Pro" w:cs="Arial" w:eastAsia="Source Sans Pro"/>
      <w:color w:val="324B50"/>
      <w:kern w:val="0"/>
      <w:sz w:val="22"/>
      <w:szCs w:val="22"/>
      <w:lang w:val="de-DE" w:eastAsia="en-US" w:bidi="ar-SA"/>
    </w:rPr>
  </w:style>
  <w:style w:type="paragraph" w:styleId="ListParagraph">
    <w:name w:val="List Paragraph"/>
    <w:basedOn w:val="Normal"/>
    <w:uiPriority w:val="34"/>
    <w:qFormat/>
    <w:rsid w:val="001d26f3"/>
    <w:pPr>
      <w:spacing w:before="0" w:after="12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5c17d6"/>
    <w:pPr>
      <w:numPr>
        <w:ilvl w:val="0"/>
        <w:numId w:val="0"/>
      </w:numPr>
      <w:spacing w:lineRule="auto" w:line="259" w:before="240" w:after="0"/>
      <w:ind w:hanging="431" w:start="431"/>
      <w:outlineLvl w:val="9"/>
    </w:pPr>
    <w:rPr>
      <w:color w:themeColor="accent1" w:themeShade="bf" w:val="002547"/>
      <w:lang w:eastAsia="de-DE"/>
    </w:rPr>
  </w:style>
  <w:style w:type="paragraph" w:styleId="TOC1">
    <w:name w:val="toc 1"/>
    <w:basedOn w:val="Normal"/>
    <w:next w:val="Normal"/>
    <w:autoRedefine/>
    <w:uiPriority w:val="39"/>
    <w:unhideWhenUsed/>
    <w:rsid w:val="005c17d6"/>
    <w:pPr>
      <w:spacing w:before="0" w:after="100"/>
    </w:pPr>
    <w:rPr/>
  </w:style>
  <w:style w:type="paragraph" w:styleId="TOC2">
    <w:name w:val="toc 2"/>
    <w:basedOn w:val="Normal"/>
    <w:next w:val="Normal"/>
    <w:autoRedefine/>
    <w:uiPriority w:val="39"/>
    <w:unhideWhenUsed/>
    <w:rsid w:val="005c17d6"/>
    <w:pPr>
      <w:spacing w:before="0" w:after="100"/>
      <w:ind w:start="220"/>
    </w:pPr>
    <w:rPr/>
  </w:style>
  <w:style w:type="paragraph" w:styleId="TOC3">
    <w:name w:val="toc 3"/>
    <w:basedOn w:val="Normal"/>
    <w:next w:val="Normal"/>
    <w:autoRedefine/>
    <w:uiPriority w:val="39"/>
    <w:unhideWhenUsed/>
    <w:rsid w:val="005c17d6"/>
    <w:pPr>
      <w:spacing w:before="0" w:after="100"/>
      <w:ind w:start="440"/>
    </w:pPr>
    <w:rPr/>
  </w:style>
  <w:style w:type="paragraph" w:styleId="TOC4">
    <w:name w:val="toc 4"/>
    <w:basedOn w:val="Normal"/>
    <w:next w:val="Normal"/>
    <w:autoRedefine/>
    <w:uiPriority w:val="39"/>
    <w:unhideWhenUsed/>
    <w:rsid w:val="005c17d6"/>
    <w:pPr>
      <w:spacing w:before="0" w:after="100"/>
      <w:ind w:start="660"/>
    </w:pPr>
    <w:rPr/>
  </w:style>
  <w:style w:type="paragraph" w:styleId="CommentText">
    <w:name w:val="annotation text"/>
    <w:basedOn w:val="Normal"/>
    <w:link w:val="CommentTextChar"/>
    <w:uiPriority w:val="99"/>
    <w:unhideWhenUsed/>
    <w:rsid w:val="00d12388"/>
    <w:pPr>
      <w:spacing w:before="0" w:after="0"/>
    </w:pPr>
    <w:rPr>
      <w:rFonts w:ascii="Arial" w:hAnsi="Arial" w:cs="Arial"/>
      <w:sz w:val="20"/>
      <w:szCs w:val="20"/>
    </w:rPr>
  </w:style>
  <w:style w:type="paragraph" w:styleId="FootnoteText">
    <w:name w:val="footnote text"/>
    <w:basedOn w:val="Normal"/>
    <w:link w:val="FootnoteTextChar"/>
    <w:uiPriority w:val="99"/>
    <w:unhideWhenUsed/>
    <w:rsid w:val="00d12388"/>
    <w:pPr>
      <w:spacing w:lineRule="auto" w:line="259" w:before="0" w:after="160"/>
    </w:pPr>
    <w:rPr>
      <w:rFonts w:ascii="Arial" w:hAnsi="Arial" w:cs="Arial"/>
      <w:sz w:val="20"/>
      <w:szCs w:val="20"/>
    </w:rPr>
  </w:style>
  <w:style w:type="paragraph" w:styleId="annotationsubject">
    <w:name w:val="annotation subject"/>
    <w:basedOn w:val="CommentText"/>
    <w:next w:val="CommentText"/>
    <w:link w:val="CommentSubjectChar"/>
    <w:uiPriority w:val="99"/>
    <w:semiHidden/>
    <w:unhideWhenUsed/>
    <w:qFormat/>
    <w:rsid w:val="005d01ae"/>
    <w:pPr>
      <w:spacing w:before="0" w:after="120"/>
    </w:pPr>
    <w:rPr>
      <w:rFonts w:ascii="Source Sans Pro" w:hAnsi="Source Sans Pro" w:cs="" w:asciiTheme="minorHAnsi" w:cstheme="minorBidi" w:hAnsiTheme="minorHAnsi"/>
      <w:b/>
      <w:bCs/>
    </w:rPr>
  </w:style>
  <w:style w:type="paragraph" w:styleId="Revision">
    <w:name w:val="Revision"/>
    <w:uiPriority w:val="99"/>
    <w:semiHidden/>
    <w:qFormat/>
    <w:rsid w:val="00a06db0"/>
    <w:pPr>
      <w:widowControl/>
      <w:bidi w:val="0"/>
      <w:spacing w:lineRule="auto" w:line="240" w:before="0" w:after="0"/>
      <w:jc w:val="start"/>
    </w:pPr>
    <w:rPr>
      <w:rFonts w:ascii="Source Sans Pro" w:hAnsi="Source Sans Pro" w:eastAsia="Source Sans Pro" w:cs="" w:asciiTheme="minorHAnsi" w:cstheme="minorBidi" w:eastAsiaTheme="minorHAnsi" w:hAnsiTheme="minorHAnsi"/>
      <w:color w:val="auto"/>
      <w:kern w:val="0"/>
      <w:sz w:val="24"/>
      <w:szCs w:val="22"/>
      <w:lang w:val="de-DE" w:eastAsia="en-US" w:bidi="ar-SA"/>
    </w:rPr>
  </w:style>
  <w:style w:type="paragraph" w:styleId="pf0" w:customStyle="1">
    <w:name w:val="pf0"/>
    <w:basedOn w:val="Normal"/>
    <w:qFormat/>
    <w:rsid w:val="00df5201"/>
    <w:pPr>
      <w:spacing w:beforeAutospacing="1" w:afterAutospacing="1"/>
    </w:pPr>
    <w:rPr>
      <w:rFonts w:ascii="Times New Roman" w:hAnsi="Times New Roman" w:eastAsia="Times New Roman" w:cs="Times New Roman"/>
      <w:szCs w:val="24"/>
      <w:lang w:eastAsia="de-DE"/>
    </w:rPr>
  </w:style>
  <w:style w:type="paragraph" w:styleId="1-H1" w:customStyle="1">
    <w:name w:val="1-H1"/>
    <w:basedOn w:val="Normal"/>
    <w:next w:val="Normal"/>
    <w:link w:val="1-H1Zchn"/>
    <w:qFormat/>
    <w:rsid w:val="000f7bc5"/>
    <w:pPr>
      <w:spacing w:before="0" w:after="0"/>
      <w:ind w:start="2268"/>
    </w:pPr>
    <w:rPr>
      <w:rFonts w:ascii="Source Sans Pro Black" w:hAnsi="Source Sans Pro Black" w:cs="Porsche Next TT"/>
      <w:b/>
      <w:color w:val="0060AF"/>
      <w:sz w:val="32"/>
      <w:szCs w:val="40"/>
    </w:rPr>
  </w:style>
  <w:style w:type="paragraph" w:styleId="3-H3" w:customStyle="1">
    <w:name w:val="3-H3"/>
    <w:basedOn w:val="Normal"/>
    <w:next w:val="Normal"/>
    <w:link w:val="3-H3Zchn"/>
    <w:qFormat/>
    <w:rsid w:val="000f7bc5"/>
    <w:pPr>
      <w:spacing w:before="0" w:after="0"/>
    </w:pPr>
    <w:rPr>
      <w:rFonts w:ascii="Source Sans Pro" w:hAnsi="Source Sans Pro"/>
      <w:b/>
      <w:color w:val="00325F"/>
      <w:sz w:val="22"/>
      <w:szCs w:val="28"/>
    </w:rPr>
  </w:style>
  <w:style w:type="paragraph" w:styleId="NormalWeb">
    <w:name w:val="Normal (Web)"/>
    <w:basedOn w:val="Normal"/>
    <w:uiPriority w:val="99"/>
    <w:semiHidden/>
    <w:unhideWhenUsed/>
    <w:qFormat/>
    <w:rsid w:val="0021625d"/>
    <w:pPr>
      <w:spacing w:beforeAutospacing="1" w:afterAutospacing="1"/>
    </w:pPr>
    <w:rPr>
      <w:rFonts w:ascii="Times New Roman" w:hAnsi="Times New Roman" w:eastAsia="Times New Roman" w:cs="Times New Roman"/>
      <w:szCs w:val="24"/>
      <w:lang w:eastAsia="de-DE"/>
    </w:rPr>
  </w:style>
  <w:style w:type="paragraph" w:styleId="PlainText">
    <w:name w:val="Plain Text"/>
    <w:basedOn w:val="Normal"/>
    <w:link w:val="PlainTextChar"/>
    <w:uiPriority w:val="99"/>
    <w:semiHidden/>
    <w:unhideWhenUsed/>
    <w:qFormat/>
    <w:rsid w:val="00a40767"/>
    <w:pPr>
      <w:spacing w:before="0" w:after="0"/>
    </w:pPr>
    <w:rPr>
      <w:rFonts w:ascii="Arial" w:hAnsi="Arial" w:eastAsia="Times New Roman" w:cs="Times New Roman"/>
      <w:sz w:val="22"/>
      <w:szCs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ad5c4a"/>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ellenraster3">
    <w:name w:val="Tabellenraster3"/>
    <w:basedOn w:val="TableNormal"/>
    <w:rsid w:val="0048428e"/>
    <w:pPr>
      <w:spacing w:after="0" w:line="240" w:lineRule="auto"/>
    </w:pPr>
    <w:rPr>
      <w:lang w:eastAsia="de-DE"/>
      <w:sz w:val="18"/>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ellenraster1">
    <w:name w:val="Tabellenraster1"/>
    <w:basedOn w:val="TableNormal"/>
    <w:rsid w:val="0048428e"/>
    <w:pPr>
      <w:spacing w:after="0" w:line="240" w:lineRule="auto"/>
    </w:pPr>
    <w:rPr>
      <w:lang w:eastAsia="de-DE"/>
      <w:sz w:val="18"/>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ellenraster2">
    <w:name w:val="Tabellenraster2"/>
    <w:basedOn w:val="TableNormal"/>
    <w:rsid w:val="0048428e"/>
    <w:pPr>
      <w:spacing w:after="0" w:line="240" w:lineRule="auto"/>
    </w:pPr>
    <w:rPr>
      <w:lang w:eastAsia="de-DE"/>
      <w:color w:themeColor="text1"/>
      <w:sz w:val="18"/>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ellenraster4">
    <w:name w:val="Tabellenraster4"/>
    <w:basedOn w:val="TableNormal"/>
    <w:rsid w:val="00686b9b"/>
    <w:pPr>
      <w:spacing w:after="0" w:line="240" w:lineRule="auto"/>
    </w:pPr>
    <w:rPr>
      <w:lang w:eastAsia="de-DE"/>
      <w:sz w:val="18"/>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ellenraster5">
    <w:name w:val="Tabellenraster5"/>
    <w:basedOn w:val="TableNormal"/>
    <w:rsid w:val="00e95e96"/>
    <w:pPr>
      <w:spacing w:after="0" w:line="240" w:lineRule="auto"/>
    </w:pPr>
    <w:rPr>
      <w:lang w:eastAsia="de-DE"/>
      <w:sz w:val="18"/>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ellenraster6">
    <w:name w:val="Tabellenraster6"/>
    <w:basedOn w:val="TableNormal"/>
    <w:rsid w:val="00553f23"/>
    <w:pPr>
      <w:spacing w:after="0" w:line="240" w:lineRule="auto"/>
    </w:pPr>
    <w:rPr>
      <w:lang w:eastAsia="de-DE"/>
      <w:color w:themeColor="text1"/>
      <w:sz w:val="18"/>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zess.uni-siegen.de/" TargetMode="External"/><Relationship Id="rId3" Type="http://schemas.openxmlformats.org/officeDocument/2006/relationships/hyperlink" Target="https://www.uni-siegen.de/projekt/learning-to-sense-l2s" TargetMode="External"/><Relationship Id="rId4" Type="http://schemas.openxmlformats.org/officeDocument/2006/relationships/hyperlink" Target="https://www.zess.uni-siegen.de/2025/05/this-was-the-zess-phd-research-forum-2025/" TargetMode="External"/><Relationship Id="rId5" Type="http://schemas.openxmlformats.org/officeDocument/2006/relationships/hyperlink" Target="https://www.uni-siegen.de/projekt/learning-to-sense-l2s" TargetMode="External"/><Relationship Id="rId6" Type="http://schemas.openxmlformats.org/officeDocument/2006/relationships/hyperlink" Target="https://www.uni-siegen.de/studium/master/embedded-intelligence-nanosystems-engineering-eminent" TargetMode="External"/><Relationship Id="rId7" Type="http://schemas.openxmlformats.org/officeDocument/2006/relationships/hyperlink" Target="https://www.iais.fraunhofer.de/" TargetMode="External"/><Relationship Id="rId8" Type="http://schemas.openxmlformats.org/officeDocument/2006/relationships/hyperlink" Target="https://www.fhr.fraunhofer.de/" TargetMode="External"/><Relationship Id="rId9" Type="http://schemas.openxmlformats.org/officeDocument/2006/relationships/hyperlink" Target="https://www.zess.uni-siegen.de/research/zess-transfer-hub" TargetMode="External"/><Relationship Id="rId10" Type="http://schemas.openxmlformats.org/officeDocument/2006/relationships/hyperlink" Target="https://www.zess.uni-siegen.de/2025/05/this-was-the-zess-phd-research-forum-2025/" TargetMode="External"/><Relationship Id="rId11" Type="http://schemas.openxmlformats.org/officeDocument/2006/relationships/hyperlink" Target="https://blogs.uni-siegen.de/fit-in-siegen/" TargetMode="External"/><Relationship Id="rId12" Type="http://schemas.openxmlformats.org/officeDocument/2006/relationships/hyperlink" Target="https://www.zess.uni-siegen.de/category/zess-diversity"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glossaryDocument" Target="glossary/document.xml"/><Relationship Id="rId24" Type="http://schemas.openxmlformats.org/officeDocument/2006/relationships/customXml" Target="../customXml/item1.xml"/><Relationship Id="rId25" Type="http://schemas.openxmlformats.org/officeDocument/2006/relationships/customXml" Target="../customXml/item2.xml"/><Relationship Id="rId26" Type="http://schemas.openxmlformats.org/officeDocument/2006/relationships/customXml" Target="../customXml/item3.xml"/><Relationship Id="rId27"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9CFF608D-2A8E-431B-A3D3-C6D2AC238295}"/>
      </w:docPartPr>
      <w:docPartBody>
        <w:p w:rsidR="002D7F64" w:rsidRDefault="002D7F64">
          <w:r w:rsidRPr="00414796">
            <w:rPr>
              <w:rStyle w:val="PlaceholderText"/>
            </w:rPr>
            <w:t>Klicken oder tippen Sie hier, um Text einzugeben.</w:t>
          </w:r>
        </w:p>
      </w:docPartBody>
    </w:docPart>
    <w:docPart>
      <w:docPartPr>
        <w:name w:val="D651B552179147F58886A2E7B8A3AFFD"/>
        <w:category>
          <w:name w:val="Allgemein"/>
          <w:gallery w:val="placeholder"/>
        </w:category>
        <w:types>
          <w:type w:val="bbPlcHdr"/>
        </w:types>
        <w:behaviors>
          <w:behavior w:val="content"/>
        </w:behaviors>
        <w:guid w:val="{810C5C66-039B-44FE-BAC2-340ED8DB4178}"/>
      </w:docPartPr>
      <w:docPartBody>
        <w:p w:rsidR="00E70CCC" w:rsidRDefault="007A4D27" w:rsidP="007A4D27">
          <w:pPr>
            <w:pStyle w:val="D651B552179147F58886A2E7B8A3AFFD3"/>
          </w:pPr>
          <w:r w:rsidRPr="00407F20">
            <w:rPr>
              <w:rStyle w:val="PlaceholderText"/>
              <w:sz w:val="20"/>
              <w:szCs w:val="20"/>
            </w:rPr>
            <w:t>Datum</w:t>
          </w:r>
        </w:p>
      </w:docPartBody>
    </w:docPart>
    <w:docPart>
      <w:docPartPr>
        <w:name w:val="7BFA5F1237994FAAB69B6001EDB9E4DF"/>
        <w:category>
          <w:name w:val="Allgemein"/>
          <w:gallery w:val="placeholder"/>
        </w:category>
        <w:types>
          <w:type w:val="bbPlcHdr"/>
        </w:types>
        <w:behaviors>
          <w:behavior w:val="content"/>
        </w:behaviors>
        <w:guid w:val="{1FEC83DC-0726-4245-8207-BC11306C2625}"/>
      </w:docPartPr>
      <w:docPartBody>
        <w:p w:rsidR="00E70CCC" w:rsidRDefault="007A4D27" w:rsidP="007A4D27">
          <w:pPr>
            <w:pStyle w:val="7BFA5F1237994FAAB69B6001EDB9E4DF3"/>
          </w:pPr>
          <w:r w:rsidRPr="00407F20">
            <w:rPr>
              <w:rStyle w:val="PlaceholderText"/>
              <w:sz w:val="20"/>
              <w:szCs w:val="20"/>
            </w:rPr>
            <w:t>Datum</w:t>
          </w:r>
        </w:p>
      </w:docPartBody>
    </w:docPart>
    <w:docPart>
      <w:docPartPr>
        <w:name w:val="1F8D0A11F64D44EFBDCA1C13D8C76AA7"/>
        <w:category>
          <w:name w:val="Allgemein"/>
          <w:gallery w:val="placeholder"/>
        </w:category>
        <w:types>
          <w:type w:val="bbPlcHdr"/>
        </w:types>
        <w:behaviors>
          <w:behavior w:val="content"/>
        </w:behaviors>
        <w:guid w:val="{96FF24DA-E924-45DC-B185-7CFA622B97AF}"/>
      </w:docPartPr>
      <w:docPartBody>
        <w:p w:rsidR="00E70CCC" w:rsidRDefault="00E70CCC" w:rsidP="00E70CCC">
          <w:pPr>
            <w:pStyle w:val="1F8D0A11F64D44EFBDCA1C13D8C76AA7"/>
          </w:pPr>
          <w:r w:rsidRPr="00414796">
            <w:rPr>
              <w:rStyle w:val="PlaceholderText"/>
            </w:rPr>
            <w:t>Klicken oder tippen Sie hier, um Text einzugeben.</w:t>
          </w:r>
        </w:p>
      </w:docPartBody>
    </w:docPart>
    <w:docPart>
      <w:docPartPr>
        <w:name w:val="590D25F7E9894621B571ED0032B533AD"/>
        <w:category>
          <w:name w:val="Allgemein"/>
          <w:gallery w:val="placeholder"/>
        </w:category>
        <w:types>
          <w:type w:val="bbPlcHdr"/>
        </w:types>
        <w:behaviors>
          <w:behavior w:val="content"/>
        </w:behaviors>
        <w:guid w:val="{77835BB2-5776-4F96-8554-B04A2913F6BA}"/>
      </w:docPartPr>
      <w:docPartBody>
        <w:p w:rsidR="00E70CCC" w:rsidRDefault="00E70CCC" w:rsidP="00E70CCC">
          <w:pPr>
            <w:pStyle w:val="590D25F7E9894621B571ED0032B533AD"/>
          </w:pPr>
          <w:r w:rsidRPr="00414796">
            <w:rPr>
              <w:rStyle w:val="PlaceholderText"/>
            </w:rPr>
            <w:t>Klicken oder tippen Sie hier, um Text einzugeben.</w:t>
          </w:r>
        </w:p>
      </w:docPartBody>
    </w:docPart>
    <w:docPart>
      <w:docPartPr>
        <w:name w:val="2EC255E5D0AF4FA0B0C580201747B810"/>
        <w:category>
          <w:name w:val="Allgemein"/>
          <w:gallery w:val="placeholder"/>
        </w:category>
        <w:types>
          <w:type w:val="bbPlcHdr"/>
        </w:types>
        <w:behaviors>
          <w:behavior w:val="content"/>
        </w:behaviors>
        <w:guid w:val="{E1351ED2-F10E-4CB6-B680-4817319B1091}"/>
      </w:docPartPr>
      <w:docPartBody>
        <w:p w:rsidR="0047464A" w:rsidRDefault="0047464A" w:rsidP="0047464A">
          <w:pPr>
            <w:pStyle w:val="2EC255E5D0AF4FA0B0C580201747B810"/>
          </w:pPr>
          <w:r w:rsidRPr="00414796">
            <w:rPr>
              <w:rStyle w:val="PlaceholderText"/>
            </w:rPr>
            <w:t>Klicken oder tippen Sie hier, um Text einzugeben.</w:t>
          </w:r>
        </w:p>
      </w:docPartBody>
    </w:docPart>
    <w:docPart>
      <w:docPartPr>
        <w:name w:val="D8A29497A99349A6A4CD36AE368BB233"/>
        <w:category>
          <w:name w:val="Allgemein"/>
          <w:gallery w:val="placeholder"/>
        </w:category>
        <w:types>
          <w:type w:val="bbPlcHdr"/>
        </w:types>
        <w:behaviors>
          <w:behavior w:val="content"/>
        </w:behaviors>
        <w:guid w:val="{6618F170-34C9-4A54-A7FB-647A7D819A4A}"/>
      </w:docPartPr>
      <w:docPartBody>
        <w:p w:rsidR="0047464A" w:rsidRDefault="0047464A" w:rsidP="0047464A">
          <w:pPr>
            <w:pStyle w:val="D8A29497A99349A6A4CD36AE368BB233"/>
          </w:pPr>
          <w:r w:rsidRPr="00414796">
            <w:rPr>
              <w:rStyle w:val="PlaceholderText"/>
            </w:rPr>
            <w:t>Klicken oder tippen Sie hier, um Text einzugeben.</w:t>
          </w:r>
        </w:p>
      </w:docPartBody>
    </w:docPart>
    <w:docPart>
      <w:docPartPr>
        <w:name w:val="26DBEA6B53264FC781C6A835E6BAB305"/>
        <w:category>
          <w:name w:val="Allgemein"/>
          <w:gallery w:val="placeholder"/>
        </w:category>
        <w:types>
          <w:type w:val="bbPlcHdr"/>
        </w:types>
        <w:behaviors>
          <w:behavior w:val="content"/>
        </w:behaviors>
        <w:guid w:val="{8B55EDC7-FB49-4F64-B327-E002E9B28AF2}"/>
      </w:docPartPr>
      <w:docPartBody>
        <w:p w:rsidR="0047464A" w:rsidRDefault="0047464A" w:rsidP="0047464A">
          <w:pPr>
            <w:pStyle w:val="26DBEA6B53264FC781C6A835E6BAB305"/>
          </w:pPr>
          <w:r w:rsidRPr="00414796">
            <w:rPr>
              <w:rStyle w:val="PlaceholderText"/>
            </w:rPr>
            <w:t>Klicken oder tippen Sie hier, um Text einzugeben.</w:t>
          </w:r>
        </w:p>
      </w:docPartBody>
    </w:docPart>
    <w:docPart>
      <w:docPartPr>
        <w:name w:val="38EBBB321CF140C79234F5667D71F1AF"/>
        <w:category>
          <w:name w:val="Allgemein"/>
          <w:gallery w:val="placeholder"/>
        </w:category>
        <w:types>
          <w:type w:val="bbPlcHdr"/>
        </w:types>
        <w:behaviors>
          <w:behavior w:val="content"/>
        </w:behaviors>
        <w:guid w:val="{E9EAA3E5-FE13-4AEF-B4ED-D87A5FB8DF4F}"/>
      </w:docPartPr>
      <w:docPartBody>
        <w:p w:rsidR="0047464A" w:rsidRDefault="0047464A" w:rsidP="0047464A">
          <w:pPr>
            <w:pStyle w:val="38EBBB321CF140C79234F5667D71F1AF"/>
          </w:pPr>
          <w:r w:rsidRPr="00414796">
            <w:rPr>
              <w:rStyle w:val="PlaceholderText"/>
            </w:rPr>
            <w:t>Klicken oder tippen Sie hier, um Text einzugeben.</w:t>
          </w:r>
        </w:p>
      </w:docPartBody>
    </w:docPart>
    <w:docPart>
      <w:docPartPr>
        <w:name w:val="042E988409D9432D842FD4CE2C3929E7"/>
        <w:category>
          <w:name w:val="Allgemein"/>
          <w:gallery w:val="placeholder"/>
        </w:category>
        <w:types>
          <w:type w:val="bbPlcHdr"/>
        </w:types>
        <w:behaviors>
          <w:behavior w:val="content"/>
        </w:behaviors>
        <w:guid w:val="{EE2DAEF6-21FB-48E8-9B5F-17DA69BB688E}"/>
      </w:docPartPr>
      <w:docPartBody>
        <w:p w:rsidR="0047464A" w:rsidRDefault="0047464A" w:rsidP="0047464A">
          <w:pPr>
            <w:pStyle w:val="042E988409D9432D842FD4CE2C3929E7"/>
          </w:pPr>
          <w:r w:rsidRPr="00414796">
            <w:rPr>
              <w:rStyle w:val="PlaceholderText"/>
            </w:rPr>
            <w:t>Klicken oder tippen Sie hier, um Text einzugeben.</w:t>
          </w:r>
        </w:p>
      </w:docPartBody>
    </w:docPart>
    <w:docPart>
      <w:docPartPr>
        <w:name w:val="7365820FFC1D48E681F5AFD4D8B9A942"/>
        <w:category>
          <w:name w:val="Allgemein"/>
          <w:gallery w:val="placeholder"/>
        </w:category>
        <w:types>
          <w:type w:val="bbPlcHdr"/>
        </w:types>
        <w:behaviors>
          <w:behavior w:val="content"/>
        </w:behaviors>
        <w:guid w:val="{D1E31C1C-A01D-4E33-A02D-A12AD6E56021}"/>
      </w:docPartPr>
      <w:docPartBody>
        <w:p w:rsidR="0047464A" w:rsidRDefault="0047464A" w:rsidP="0047464A">
          <w:pPr>
            <w:pStyle w:val="7365820FFC1D48E681F5AFD4D8B9A942"/>
          </w:pPr>
          <w:r w:rsidRPr="00414796">
            <w:rPr>
              <w:rStyle w:val="PlaceholderText"/>
            </w:rPr>
            <w:t>Klicken oder tippen Sie hier, um Text einzugeben.</w:t>
          </w:r>
        </w:p>
      </w:docPartBody>
    </w:docPart>
    <w:docPart>
      <w:docPartPr>
        <w:name w:val="7A40360496354759A80E4594E8426D03"/>
        <w:category>
          <w:name w:val="Allgemein"/>
          <w:gallery w:val="placeholder"/>
        </w:category>
        <w:types>
          <w:type w:val="bbPlcHdr"/>
        </w:types>
        <w:behaviors>
          <w:behavior w:val="content"/>
        </w:behaviors>
        <w:guid w:val="{8A2F3870-1A0C-48EA-83F4-E19FE9603A15}"/>
      </w:docPartPr>
      <w:docPartBody>
        <w:p w:rsidR="0047464A" w:rsidRDefault="0047464A" w:rsidP="0047464A">
          <w:pPr>
            <w:pStyle w:val="7A40360496354759A80E4594E8426D03"/>
          </w:pPr>
          <w:r w:rsidRPr="00414796">
            <w:rPr>
              <w:rStyle w:val="PlaceholderText"/>
            </w:rPr>
            <w:t>Klicken oder tippen Sie hier, um Text einzugeben.</w:t>
          </w:r>
        </w:p>
      </w:docPartBody>
    </w:docPart>
    <w:docPart>
      <w:docPartPr>
        <w:name w:val="D7016AC40FDC4893A61373E00130299F"/>
        <w:category>
          <w:name w:val="Allgemein"/>
          <w:gallery w:val="placeholder"/>
        </w:category>
        <w:types>
          <w:type w:val="bbPlcHdr"/>
        </w:types>
        <w:behaviors>
          <w:behavior w:val="content"/>
        </w:behaviors>
        <w:guid w:val="{D62B69DA-6333-422F-AC19-6DC659081F7A}"/>
      </w:docPartPr>
      <w:docPartBody>
        <w:p w:rsidR="0047464A" w:rsidRDefault="0047464A" w:rsidP="0047464A">
          <w:pPr>
            <w:pStyle w:val="D7016AC40FDC4893A61373E00130299F"/>
          </w:pPr>
          <w:r w:rsidRPr="00414796">
            <w:rPr>
              <w:rStyle w:val="PlaceholderText"/>
            </w:rPr>
            <w:t>Klicken oder tippen Sie hier, um Text einzugeben.</w:t>
          </w:r>
        </w:p>
      </w:docPartBody>
    </w:docPart>
    <w:docPart>
      <w:docPartPr>
        <w:name w:val="1775BE49C8DD4396A422748595AB4323"/>
        <w:category>
          <w:name w:val="Allgemein"/>
          <w:gallery w:val="placeholder"/>
        </w:category>
        <w:types>
          <w:type w:val="bbPlcHdr"/>
        </w:types>
        <w:behaviors>
          <w:behavior w:val="content"/>
        </w:behaviors>
        <w:guid w:val="{29929C59-5D27-4443-B5CD-8E948EC27D7E}"/>
      </w:docPartPr>
      <w:docPartBody>
        <w:p w:rsidR="0047464A" w:rsidRDefault="0047464A" w:rsidP="0047464A">
          <w:pPr>
            <w:pStyle w:val="1775BE49C8DD4396A422748595AB4323"/>
          </w:pPr>
          <w:r w:rsidRPr="00414796">
            <w:rPr>
              <w:rStyle w:val="PlaceholderText"/>
            </w:rPr>
            <w:t>Klicken oder tippen Sie hier, um Text einzugeben.</w:t>
          </w:r>
        </w:p>
      </w:docPartBody>
    </w:docPart>
    <w:docPart>
      <w:docPartPr>
        <w:name w:val="EE45F8BD742D441FA76AA5915100CA67"/>
        <w:category>
          <w:name w:val="Allgemein"/>
          <w:gallery w:val="placeholder"/>
        </w:category>
        <w:types>
          <w:type w:val="bbPlcHdr"/>
        </w:types>
        <w:behaviors>
          <w:behavior w:val="content"/>
        </w:behaviors>
        <w:guid w:val="{A2B725FD-1234-410C-91A1-E2E6B0EACEF5}"/>
      </w:docPartPr>
      <w:docPartBody>
        <w:p w:rsidR="0047464A" w:rsidRDefault="0047464A" w:rsidP="0047464A">
          <w:pPr>
            <w:pStyle w:val="EE45F8BD742D441FA76AA5915100CA67"/>
          </w:pPr>
          <w:r w:rsidRPr="00414796">
            <w:rPr>
              <w:rStyle w:val="PlaceholderText"/>
            </w:rPr>
            <w:t>Klicken oder tippen Sie hier, um Text einzugeben.</w:t>
          </w:r>
        </w:p>
      </w:docPartBody>
    </w:docPart>
    <w:docPart>
      <w:docPartPr>
        <w:name w:val="78821C39377F4B53B03916E9BF89112F"/>
        <w:category>
          <w:name w:val="Allgemein"/>
          <w:gallery w:val="placeholder"/>
        </w:category>
        <w:types>
          <w:type w:val="bbPlcHdr"/>
        </w:types>
        <w:behaviors>
          <w:behavior w:val="content"/>
        </w:behaviors>
        <w:guid w:val="{2DB86EEE-9A09-4120-BB9B-810C875BFE29}"/>
      </w:docPartPr>
      <w:docPartBody>
        <w:p w:rsidR="0047464A" w:rsidRDefault="0047464A" w:rsidP="0047464A">
          <w:pPr>
            <w:pStyle w:val="78821C39377F4B53B03916E9BF89112F"/>
          </w:pPr>
          <w:r w:rsidRPr="00414796">
            <w:rPr>
              <w:rStyle w:val="PlaceholderText"/>
            </w:rPr>
            <w:t>Klicken oder tippen Sie hier, um Text einzugeben.</w:t>
          </w:r>
        </w:p>
      </w:docPartBody>
    </w:docPart>
    <w:docPart>
      <w:docPartPr>
        <w:name w:val="FB42BF2B131949B4B3790B6F24C1A5B3"/>
        <w:category>
          <w:name w:val="Allgemein"/>
          <w:gallery w:val="placeholder"/>
        </w:category>
        <w:types>
          <w:type w:val="bbPlcHdr"/>
        </w:types>
        <w:behaviors>
          <w:behavior w:val="content"/>
        </w:behaviors>
        <w:guid w:val="{93565B93-DA95-467B-924E-7062ABA7769A}"/>
      </w:docPartPr>
      <w:docPartBody>
        <w:p w:rsidR="004279FC" w:rsidRDefault="004279FC" w:rsidP="004279FC">
          <w:pPr>
            <w:pStyle w:val="FB42BF2B131949B4B3790B6F24C1A5B3"/>
          </w:pPr>
          <w:r w:rsidRPr="00414796">
            <w:rPr>
              <w:rStyle w:val="PlaceholderText"/>
            </w:rPr>
            <w:t>Klicken oder tippen Sie hier, um Text einzugeben.</w:t>
          </w:r>
        </w:p>
      </w:docPartBody>
    </w:docPart>
    <w:docPart>
      <w:docPartPr>
        <w:name w:val="CA9B9401E820443D8A757676BA44AC3C"/>
        <w:category>
          <w:name w:val="Allgemein"/>
          <w:gallery w:val="placeholder"/>
        </w:category>
        <w:types>
          <w:type w:val="bbPlcHdr"/>
        </w:types>
        <w:behaviors>
          <w:behavior w:val="content"/>
        </w:behaviors>
        <w:guid w:val="{390D7990-D564-4A58-BFCF-B158A351C6F3}"/>
      </w:docPartPr>
      <w:docPartBody>
        <w:p w:rsidR="001D34B7" w:rsidRDefault="007A4D27" w:rsidP="007A4D27">
          <w:pPr>
            <w:pStyle w:val="CA9B9401E820443D8A757676BA44AC3C3"/>
          </w:pPr>
          <w:r w:rsidRPr="00047C19">
            <w:rPr>
              <w:rStyle w:val="PlaceholderText"/>
              <w:sz w:val="20"/>
              <w:szCs w:val="20"/>
            </w:rPr>
            <w:t>Wählen Sie einen Baustein aus.</w:t>
          </w:r>
        </w:p>
      </w:docPartBody>
    </w:docPart>
    <w:docPart>
      <w:docPartPr>
        <w:name w:val="2FCD3C40551A492D98D778B76A68F850"/>
        <w:category>
          <w:name w:val="Allgemein"/>
          <w:gallery w:val="placeholder"/>
        </w:category>
        <w:types>
          <w:type w:val="bbPlcHdr"/>
        </w:types>
        <w:behaviors>
          <w:behavior w:val="content"/>
        </w:behaviors>
        <w:guid w:val="{C973E878-02AE-4E96-9DE2-D0F2EEE78D7E}"/>
      </w:docPartPr>
      <w:docPartBody>
        <w:p w:rsidR="001D34B7" w:rsidRDefault="007A4D27" w:rsidP="007A4D27">
          <w:pPr>
            <w:pStyle w:val="2FCD3C40551A492D98D778B76A68F8503"/>
          </w:pPr>
          <w:r w:rsidRPr="00047C19">
            <w:rPr>
              <w:rStyle w:val="PlaceholderText"/>
              <w:sz w:val="20"/>
              <w:szCs w:val="20"/>
            </w:rPr>
            <w:t>Wählen Sie einen Baustein aus.</w:t>
          </w:r>
        </w:p>
      </w:docPartBody>
    </w:docPart>
    <w:docPart>
      <w:docPartPr>
        <w:name w:val="D06F9CDD614748CAB28FDCA6B50A15CE"/>
        <w:category>
          <w:name w:val="Allgemein"/>
          <w:gallery w:val="placeholder"/>
        </w:category>
        <w:types>
          <w:type w:val="bbPlcHdr"/>
        </w:types>
        <w:behaviors>
          <w:behavior w:val="content"/>
        </w:behaviors>
        <w:guid w:val="{F86957BE-FC20-42A5-AA95-5FDF948CB68A}"/>
      </w:docPartPr>
      <w:docPartBody>
        <w:p w:rsidR="001D34B7" w:rsidRDefault="007A4D27" w:rsidP="007A4D27">
          <w:pPr>
            <w:pStyle w:val="D06F9CDD614748CAB28FDCA6B50A15CE3"/>
          </w:pPr>
          <w:r w:rsidRPr="00047C19">
            <w:rPr>
              <w:rStyle w:val="PlaceholderText"/>
              <w:sz w:val="20"/>
              <w:szCs w:val="20"/>
            </w:rPr>
            <w:t>Wählen Sie einen Baustein aus.</w:t>
          </w:r>
        </w:p>
      </w:docPartBody>
    </w:docPart>
    <w:docPart>
      <w:docPartPr>
        <w:name w:val="F14B55033CC343929142E7EC2FBF4B75"/>
        <w:category>
          <w:name w:val="Allgemein"/>
          <w:gallery w:val="placeholder"/>
        </w:category>
        <w:types>
          <w:type w:val="bbPlcHdr"/>
        </w:types>
        <w:behaviors>
          <w:behavior w:val="content"/>
        </w:behaviors>
        <w:guid w:val="{371C3C6C-E6BA-43B7-8A6E-09827624FE9A}"/>
      </w:docPartPr>
      <w:docPartBody>
        <w:p w:rsidR="001D34B7" w:rsidRDefault="007A4D27" w:rsidP="007A4D27">
          <w:pPr>
            <w:pStyle w:val="F14B55033CC343929142E7EC2FBF4B753"/>
          </w:pPr>
          <w:r w:rsidRPr="00047C19">
            <w:rPr>
              <w:rStyle w:val="PlaceholderText"/>
              <w:sz w:val="20"/>
              <w:szCs w:val="20"/>
            </w:rPr>
            <w:t>Wählen Sie einen Baustein aus.</w:t>
          </w:r>
        </w:p>
      </w:docPartBody>
    </w:docPart>
    <w:docPart>
      <w:docPartPr>
        <w:name w:val="D91497CCC0CF43EA9D0FD721D1308A79"/>
        <w:category>
          <w:name w:val="Allgemein"/>
          <w:gallery w:val="placeholder"/>
        </w:category>
        <w:types>
          <w:type w:val="bbPlcHdr"/>
        </w:types>
        <w:behaviors>
          <w:behavior w:val="content"/>
        </w:behaviors>
        <w:guid w:val="{40F0F7C6-7DDC-4B7B-A93A-2F53AB3875DE}"/>
      </w:docPartPr>
      <w:docPartBody>
        <w:p w:rsidR="001D34B7" w:rsidRDefault="007A4D27" w:rsidP="007A4D27">
          <w:pPr>
            <w:pStyle w:val="D91497CCC0CF43EA9D0FD721D1308A793"/>
          </w:pPr>
          <w:r w:rsidRPr="00047C19">
            <w:rPr>
              <w:rStyle w:val="PlaceholderText"/>
              <w:sz w:val="20"/>
              <w:szCs w:val="20"/>
            </w:rPr>
            <w:t>Wählen Sie einen Baustein aus.</w:t>
          </w:r>
        </w:p>
      </w:docPartBody>
    </w:docPart>
    <w:docPart>
      <w:docPartPr>
        <w:name w:val="CC1D1F20ECE4459C8B7AC499E5308CF3"/>
        <w:category>
          <w:name w:val="Allgemein"/>
          <w:gallery w:val="placeholder"/>
        </w:category>
        <w:types>
          <w:type w:val="bbPlcHdr"/>
        </w:types>
        <w:behaviors>
          <w:behavior w:val="content"/>
        </w:behaviors>
        <w:guid w:val="{776198A2-A918-4D20-9DBC-6663D1983760}"/>
      </w:docPartPr>
      <w:docPartBody>
        <w:p w:rsidR="001D34B7" w:rsidRDefault="001D34B7" w:rsidP="001D34B7">
          <w:pPr>
            <w:pStyle w:val="CC1D1F20ECE4459C8B7AC499E5308CF3"/>
          </w:pPr>
          <w:r w:rsidRPr="00414796">
            <w:rPr>
              <w:rStyle w:val="PlaceholderText"/>
            </w:rPr>
            <w:t>Klicken oder tippen Sie hier, um Text einzugeben.</w:t>
          </w:r>
        </w:p>
      </w:docPartBody>
    </w:docPart>
    <w:docPart>
      <w:docPartPr>
        <w:name w:val="956588EC1535484694D702DD0C79FB25"/>
        <w:category>
          <w:name w:val="Allgemein"/>
          <w:gallery w:val="placeholder"/>
        </w:category>
        <w:types>
          <w:type w:val="bbPlcHdr"/>
        </w:types>
        <w:behaviors>
          <w:behavior w:val="content"/>
        </w:behaviors>
        <w:guid w:val="{0554A016-467B-4C5E-A777-3D4CDF5A3170}"/>
      </w:docPartPr>
      <w:docPartBody>
        <w:p w:rsidR="001D34B7" w:rsidRDefault="001D34B7" w:rsidP="001D34B7">
          <w:pPr>
            <w:pStyle w:val="956588EC1535484694D702DD0C79FB25"/>
          </w:pPr>
          <w:r w:rsidRPr="00414796">
            <w:rPr>
              <w:rStyle w:val="PlaceholderText"/>
            </w:rPr>
            <w:t>Klicken oder tippen Sie hier, um Text einzugeben.</w:t>
          </w:r>
        </w:p>
      </w:docPartBody>
    </w:docPart>
    <w:docPart>
      <w:docPartPr>
        <w:name w:val="DD72E44CE81B43A68AEC2077AA2D84E7"/>
        <w:category>
          <w:name w:val="Allgemein"/>
          <w:gallery w:val="placeholder"/>
        </w:category>
        <w:types>
          <w:type w:val="bbPlcHdr"/>
        </w:types>
        <w:behaviors>
          <w:behavior w:val="content"/>
        </w:behaviors>
        <w:guid w:val="{33BD530E-D9AF-4C9A-B788-FCEDE5BB24B3}"/>
      </w:docPartPr>
      <w:docPartBody>
        <w:p w:rsidR="001D34B7" w:rsidRDefault="007A4D27" w:rsidP="007A4D27">
          <w:pPr>
            <w:pStyle w:val="DD72E44CE81B43A68AEC2077AA2D84E74"/>
          </w:pPr>
          <w:r w:rsidRPr="00C37DC5">
            <w:rPr>
              <w:rStyle w:val="PlaceholderText"/>
              <w:sz w:val="20"/>
              <w:szCs w:val="18"/>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Bold">
    <w:altName w:val="Arial"/>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ource Sans Pro Black">
    <w:altName w:val="Arial"/>
    <w:panose1 w:val="020B0604020202020204"/>
    <w:charset w:val="00"/>
    <w:family w:val="swiss"/>
    <w:pitch w:val="variable"/>
    <w:sig w:usb0="600002F7" w:usb1="02000001" w:usb2="00000000" w:usb3="00000000" w:csb0="0000019F" w:csb1="00000000"/>
  </w:font>
  <w:font w:name="Porsche Next TT">
    <w:altName w:val="Calibri"/>
    <w:panose1 w:val="020B0604020202020204"/>
    <w:charset w:val="00"/>
    <w:family w:val="swiss"/>
    <w:pitch w:val="variable"/>
    <w:sig w:usb0="A10002FF" w:usb1="4000607B" w:usb2="00000008"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F64"/>
    <w:rsid w:val="00031BBC"/>
    <w:rsid w:val="000A0D6B"/>
    <w:rsid w:val="000B3874"/>
    <w:rsid w:val="001D34B7"/>
    <w:rsid w:val="002D7F64"/>
    <w:rsid w:val="00313030"/>
    <w:rsid w:val="00346120"/>
    <w:rsid w:val="003575E7"/>
    <w:rsid w:val="003804A2"/>
    <w:rsid w:val="00394789"/>
    <w:rsid w:val="004279FC"/>
    <w:rsid w:val="0047464A"/>
    <w:rsid w:val="005265CE"/>
    <w:rsid w:val="00563E71"/>
    <w:rsid w:val="005D0EC1"/>
    <w:rsid w:val="005E0C5F"/>
    <w:rsid w:val="005F36DA"/>
    <w:rsid w:val="00664727"/>
    <w:rsid w:val="006B205B"/>
    <w:rsid w:val="006B261E"/>
    <w:rsid w:val="00706C1B"/>
    <w:rsid w:val="007A4D27"/>
    <w:rsid w:val="007E4C76"/>
    <w:rsid w:val="00816766"/>
    <w:rsid w:val="008524C3"/>
    <w:rsid w:val="00855CCD"/>
    <w:rsid w:val="00862912"/>
    <w:rsid w:val="008F34CD"/>
    <w:rsid w:val="00A16656"/>
    <w:rsid w:val="00A51A1D"/>
    <w:rsid w:val="00AD707B"/>
    <w:rsid w:val="00B02B45"/>
    <w:rsid w:val="00B92EB9"/>
    <w:rsid w:val="00BB21E9"/>
    <w:rsid w:val="00BC2F44"/>
    <w:rsid w:val="00BE7ECF"/>
    <w:rsid w:val="00C02692"/>
    <w:rsid w:val="00C914AE"/>
    <w:rsid w:val="00CD4515"/>
    <w:rsid w:val="00D15569"/>
    <w:rsid w:val="00DC339A"/>
    <w:rsid w:val="00DD618A"/>
    <w:rsid w:val="00E70CCC"/>
    <w:rsid w:val="00E722C5"/>
    <w:rsid w:val="00EA2F01"/>
    <w:rsid w:val="00EB6E4E"/>
    <w:rsid w:val="00EE3508"/>
    <w:rsid w:val="00F050F8"/>
    <w:rsid w:val="00F556A7"/>
    <w:rsid w:val="00F66564"/>
    <w:rsid w:val="00FE0A5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DE" w:eastAsia="de-D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A51A1D"/>
    <w:rPr>
      <w:color w:val="808080"/>
    </w:rPr>
  </w:style>
  <w:style w:type="paragraph" w:customStyle="1" w:styleId="D651B552179147F58886A2E7B8A3AFFD">
    <w:name w:val="D651B552179147F58886A2E7B8A3AFFD"/>
    <w:rsid w:val="00862912"/>
    <w:pPr>
      <w:spacing w:after="120" w:line="240" w:lineRule="auto"/>
    </w:pPr>
    <w:rPr>
      <w:rFonts w:eastAsiaTheme="minorHAnsi"/>
      <w:kern w:val="0"/>
      <w:sz w:val="24"/>
      <w:lang w:eastAsia="en-US"/>
      <w14:ligatures w14:val="none"/>
    </w:rPr>
  </w:style>
  <w:style w:type="paragraph" w:customStyle="1" w:styleId="1F8D0A11F64D44EFBDCA1C13D8C76AA7">
    <w:name w:val="1F8D0A11F64D44EFBDCA1C13D8C76AA7"/>
    <w:rsid w:val="00E70CCC"/>
  </w:style>
  <w:style w:type="paragraph" w:customStyle="1" w:styleId="590D25F7E9894621B571ED0032B533AD">
    <w:name w:val="590D25F7E9894621B571ED0032B533AD"/>
    <w:rsid w:val="00E70CCC"/>
  </w:style>
  <w:style w:type="paragraph" w:customStyle="1" w:styleId="7BFA5F1237994FAAB69B6001EDB9E4DF">
    <w:name w:val="7BFA5F1237994FAAB69B6001EDB9E4DF"/>
    <w:rsid w:val="00862912"/>
    <w:pPr>
      <w:spacing w:after="120" w:line="240" w:lineRule="auto"/>
    </w:pPr>
    <w:rPr>
      <w:rFonts w:eastAsiaTheme="minorHAnsi"/>
      <w:kern w:val="0"/>
      <w:sz w:val="24"/>
      <w:lang w:eastAsia="en-US"/>
      <w14:ligatures w14:val="none"/>
    </w:rPr>
  </w:style>
  <w:style w:type="paragraph" w:customStyle="1" w:styleId="2EC255E5D0AF4FA0B0C580201747B810">
    <w:name w:val="2EC255E5D0AF4FA0B0C580201747B810"/>
    <w:rsid w:val="0047464A"/>
  </w:style>
  <w:style w:type="paragraph" w:customStyle="1" w:styleId="D8A29497A99349A6A4CD36AE368BB233">
    <w:name w:val="D8A29497A99349A6A4CD36AE368BB233"/>
    <w:rsid w:val="0047464A"/>
  </w:style>
  <w:style w:type="paragraph" w:customStyle="1" w:styleId="26DBEA6B53264FC781C6A835E6BAB305">
    <w:name w:val="26DBEA6B53264FC781C6A835E6BAB305"/>
    <w:rsid w:val="0047464A"/>
  </w:style>
  <w:style w:type="paragraph" w:customStyle="1" w:styleId="38EBBB321CF140C79234F5667D71F1AF">
    <w:name w:val="38EBBB321CF140C79234F5667D71F1AF"/>
    <w:rsid w:val="0047464A"/>
  </w:style>
  <w:style w:type="paragraph" w:customStyle="1" w:styleId="042E988409D9432D842FD4CE2C3929E7">
    <w:name w:val="042E988409D9432D842FD4CE2C3929E7"/>
    <w:rsid w:val="0047464A"/>
  </w:style>
  <w:style w:type="paragraph" w:customStyle="1" w:styleId="7365820FFC1D48E681F5AFD4D8B9A942">
    <w:name w:val="7365820FFC1D48E681F5AFD4D8B9A942"/>
    <w:rsid w:val="0047464A"/>
  </w:style>
  <w:style w:type="paragraph" w:customStyle="1" w:styleId="7A40360496354759A80E4594E8426D03">
    <w:name w:val="7A40360496354759A80E4594E8426D03"/>
    <w:rsid w:val="0047464A"/>
  </w:style>
  <w:style w:type="paragraph" w:customStyle="1" w:styleId="D7016AC40FDC4893A61373E00130299F">
    <w:name w:val="D7016AC40FDC4893A61373E00130299F"/>
    <w:rsid w:val="0047464A"/>
  </w:style>
  <w:style w:type="paragraph" w:customStyle="1" w:styleId="1775BE49C8DD4396A422748595AB4323">
    <w:name w:val="1775BE49C8DD4396A422748595AB4323"/>
    <w:rsid w:val="0047464A"/>
  </w:style>
  <w:style w:type="paragraph" w:customStyle="1" w:styleId="EE45F8BD742D441FA76AA5915100CA67">
    <w:name w:val="EE45F8BD742D441FA76AA5915100CA67"/>
    <w:rsid w:val="0047464A"/>
  </w:style>
  <w:style w:type="paragraph" w:customStyle="1" w:styleId="78821C39377F4B53B03916E9BF89112F">
    <w:name w:val="78821C39377F4B53B03916E9BF89112F"/>
    <w:rsid w:val="0047464A"/>
  </w:style>
  <w:style w:type="paragraph" w:customStyle="1" w:styleId="DD72E44CE81B43A68AEC2077AA2D84E7">
    <w:name w:val="DD72E44CE81B43A68AEC2077AA2D84E7"/>
    <w:rsid w:val="00862912"/>
    <w:pPr>
      <w:spacing w:after="120" w:line="240" w:lineRule="auto"/>
    </w:pPr>
    <w:rPr>
      <w:rFonts w:eastAsiaTheme="minorHAnsi"/>
      <w:kern w:val="0"/>
      <w:sz w:val="24"/>
      <w:lang w:eastAsia="en-US"/>
      <w14:ligatures w14:val="none"/>
    </w:rPr>
  </w:style>
  <w:style w:type="paragraph" w:customStyle="1" w:styleId="CA9B9401E820443D8A757676BA44AC3C">
    <w:name w:val="CA9B9401E820443D8A757676BA44AC3C"/>
    <w:rsid w:val="00862912"/>
    <w:pPr>
      <w:spacing w:after="120" w:line="240" w:lineRule="auto"/>
    </w:pPr>
    <w:rPr>
      <w:rFonts w:eastAsiaTheme="minorHAnsi"/>
      <w:kern w:val="0"/>
      <w:sz w:val="24"/>
      <w:lang w:eastAsia="en-US"/>
      <w14:ligatures w14:val="none"/>
    </w:rPr>
  </w:style>
  <w:style w:type="paragraph" w:customStyle="1" w:styleId="2FCD3C40551A492D98D778B76A68F850">
    <w:name w:val="2FCD3C40551A492D98D778B76A68F850"/>
    <w:rsid w:val="00862912"/>
    <w:pPr>
      <w:spacing w:after="120" w:line="240" w:lineRule="auto"/>
    </w:pPr>
    <w:rPr>
      <w:rFonts w:eastAsiaTheme="minorHAnsi"/>
      <w:kern w:val="0"/>
      <w:sz w:val="24"/>
      <w:lang w:eastAsia="en-US"/>
      <w14:ligatures w14:val="none"/>
    </w:rPr>
  </w:style>
  <w:style w:type="paragraph" w:customStyle="1" w:styleId="D06F9CDD614748CAB28FDCA6B50A15CE">
    <w:name w:val="D06F9CDD614748CAB28FDCA6B50A15CE"/>
    <w:rsid w:val="00862912"/>
    <w:pPr>
      <w:spacing w:after="120" w:line="240" w:lineRule="auto"/>
    </w:pPr>
    <w:rPr>
      <w:rFonts w:eastAsiaTheme="minorHAnsi"/>
      <w:kern w:val="0"/>
      <w:sz w:val="24"/>
      <w:lang w:eastAsia="en-US"/>
      <w14:ligatures w14:val="none"/>
    </w:rPr>
  </w:style>
  <w:style w:type="paragraph" w:customStyle="1" w:styleId="F14B55033CC343929142E7EC2FBF4B75">
    <w:name w:val="F14B55033CC343929142E7EC2FBF4B75"/>
    <w:rsid w:val="00862912"/>
    <w:pPr>
      <w:spacing w:after="120" w:line="240" w:lineRule="auto"/>
    </w:pPr>
    <w:rPr>
      <w:rFonts w:eastAsiaTheme="minorHAnsi"/>
      <w:kern w:val="0"/>
      <w:sz w:val="24"/>
      <w:lang w:eastAsia="en-US"/>
      <w14:ligatures w14:val="none"/>
    </w:rPr>
  </w:style>
  <w:style w:type="paragraph" w:customStyle="1" w:styleId="D91497CCC0CF43EA9D0FD721D1308A79">
    <w:name w:val="D91497CCC0CF43EA9D0FD721D1308A79"/>
    <w:rsid w:val="00862912"/>
    <w:pPr>
      <w:spacing w:after="120" w:line="240" w:lineRule="auto"/>
    </w:pPr>
    <w:rPr>
      <w:rFonts w:eastAsiaTheme="minorHAnsi"/>
      <w:kern w:val="0"/>
      <w:sz w:val="24"/>
      <w:lang w:eastAsia="en-US"/>
      <w14:ligatures w14:val="none"/>
    </w:rPr>
  </w:style>
  <w:style w:type="paragraph" w:customStyle="1" w:styleId="FB42BF2B131949B4B3790B6F24C1A5B3">
    <w:name w:val="FB42BF2B131949B4B3790B6F24C1A5B3"/>
    <w:rsid w:val="004279FC"/>
    <w:pPr>
      <w:spacing w:line="278" w:lineRule="auto"/>
    </w:pPr>
    <w:rPr>
      <w:sz w:val="24"/>
      <w:szCs w:val="24"/>
    </w:rPr>
  </w:style>
  <w:style w:type="paragraph" w:customStyle="1" w:styleId="CC1D1F20ECE4459C8B7AC499E5308CF3">
    <w:name w:val="CC1D1F20ECE4459C8B7AC499E5308CF3"/>
    <w:rsid w:val="001D34B7"/>
    <w:pPr>
      <w:spacing w:line="278" w:lineRule="auto"/>
    </w:pPr>
    <w:rPr>
      <w:sz w:val="24"/>
      <w:szCs w:val="24"/>
    </w:rPr>
  </w:style>
  <w:style w:type="paragraph" w:customStyle="1" w:styleId="956588EC1535484694D702DD0C79FB25">
    <w:name w:val="956588EC1535484694D702DD0C79FB25"/>
    <w:rsid w:val="001D34B7"/>
    <w:pPr>
      <w:spacing w:line="278" w:lineRule="auto"/>
    </w:pPr>
    <w:rPr>
      <w:sz w:val="24"/>
      <w:szCs w:val="24"/>
    </w:rPr>
  </w:style>
  <w:style w:type="paragraph" w:customStyle="1" w:styleId="D651B552179147F58886A2E7B8A3AFFD17">
    <w:name w:val="D651B552179147F58886A2E7B8A3AFFD17"/>
    <w:rsid w:val="001D34B7"/>
    <w:pPr>
      <w:spacing w:after="120" w:line="240" w:lineRule="auto"/>
    </w:pPr>
    <w:rPr>
      <w:rFonts w:eastAsiaTheme="minorHAnsi"/>
      <w:kern w:val="0"/>
      <w:sz w:val="24"/>
      <w:lang w:eastAsia="en-US"/>
      <w14:ligatures w14:val="none"/>
    </w:rPr>
  </w:style>
  <w:style w:type="paragraph" w:customStyle="1" w:styleId="7BFA5F1237994FAAB69B6001EDB9E4DF17">
    <w:name w:val="7BFA5F1237994FAAB69B6001EDB9E4DF17"/>
    <w:rsid w:val="001D34B7"/>
    <w:pPr>
      <w:spacing w:after="120" w:line="240" w:lineRule="auto"/>
    </w:pPr>
    <w:rPr>
      <w:rFonts w:eastAsiaTheme="minorHAnsi"/>
      <w:kern w:val="0"/>
      <w:sz w:val="24"/>
      <w:lang w:eastAsia="en-US"/>
      <w14:ligatures w14:val="none"/>
    </w:rPr>
  </w:style>
  <w:style w:type="paragraph" w:customStyle="1" w:styleId="DD72E44CE81B43A68AEC2077AA2D84E73">
    <w:name w:val="DD72E44CE81B43A68AEC2077AA2D84E73"/>
    <w:rsid w:val="001D34B7"/>
    <w:pPr>
      <w:spacing w:after="120" w:line="240" w:lineRule="auto"/>
    </w:pPr>
    <w:rPr>
      <w:rFonts w:eastAsiaTheme="minorHAnsi"/>
      <w:kern w:val="0"/>
      <w:sz w:val="24"/>
      <w:lang w:eastAsia="en-US"/>
      <w14:ligatures w14:val="none"/>
    </w:rPr>
  </w:style>
  <w:style w:type="paragraph" w:customStyle="1" w:styleId="CA9B9401E820443D8A757676BA44AC3C7">
    <w:name w:val="CA9B9401E820443D8A757676BA44AC3C7"/>
    <w:rsid w:val="001D34B7"/>
    <w:pPr>
      <w:spacing w:after="120" w:line="240" w:lineRule="auto"/>
    </w:pPr>
    <w:rPr>
      <w:rFonts w:eastAsiaTheme="minorHAnsi"/>
      <w:kern w:val="0"/>
      <w:sz w:val="24"/>
      <w:lang w:eastAsia="en-US"/>
      <w14:ligatures w14:val="none"/>
    </w:rPr>
  </w:style>
  <w:style w:type="paragraph" w:customStyle="1" w:styleId="2FCD3C40551A492D98D778B76A68F8507">
    <w:name w:val="2FCD3C40551A492D98D778B76A68F8507"/>
    <w:rsid w:val="001D34B7"/>
    <w:pPr>
      <w:spacing w:after="120" w:line="240" w:lineRule="auto"/>
    </w:pPr>
    <w:rPr>
      <w:rFonts w:eastAsiaTheme="minorHAnsi"/>
      <w:kern w:val="0"/>
      <w:sz w:val="24"/>
      <w:lang w:eastAsia="en-US"/>
      <w14:ligatures w14:val="none"/>
    </w:rPr>
  </w:style>
  <w:style w:type="paragraph" w:customStyle="1" w:styleId="D06F9CDD614748CAB28FDCA6B50A15CE7">
    <w:name w:val="D06F9CDD614748CAB28FDCA6B50A15CE7"/>
    <w:rsid w:val="001D34B7"/>
    <w:pPr>
      <w:spacing w:after="120" w:line="240" w:lineRule="auto"/>
    </w:pPr>
    <w:rPr>
      <w:rFonts w:eastAsiaTheme="minorHAnsi"/>
      <w:kern w:val="0"/>
      <w:sz w:val="24"/>
      <w:lang w:eastAsia="en-US"/>
      <w14:ligatures w14:val="none"/>
    </w:rPr>
  </w:style>
  <w:style w:type="paragraph" w:customStyle="1" w:styleId="F14B55033CC343929142E7EC2FBF4B757">
    <w:name w:val="F14B55033CC343929142E7EC2FBF4B757"/>
    <w:rsid w:val="001D34B7"/>
    <w:pPr>
      <w:spacing w:after="120" w:line="240" w:lineRule="auto"/>
    </w:pPr>
    <w:rPr>
      <w:rFonts w:eastAsiaTheme="minorHAnsi"/>
      <w:kern w:val="0"/>
      <w:sz w:val="24"/>
      <w:lang w:eastAsia="en-US"/>
      <w14:ligatures w14:val="none"/>
    </w:rPr>
  </w:style>
  <w:style w:type="paragraph" w:customStyle="1" w:styleId="D91497CCC0CF43EA9D0FD721D1308A797">
    <w:name w:val="D91497CCC0CF43EA9D0FD721D1308A797"/>
    <w:rsid w:val="001D34B7"/>
    <w:pPr>
      <w:spacing w:after="120" w:line="240" w:lineRule="auto"/>
    </w:pPr>
    <w:rPr>
      <w:rFonts w:eastAsiaTheme="minorHAnsi"/>
      <w:kern w:val="0"/>
      <w:sz w:val="24"/>
      <w:lang w:eastAsia="en-US"/>
      <w14:ligatures w14:val="none"/>
    </w:rPr>
  </w:style>
  <w:style w:type="paragraph" w:customStyle="1" w:styleId="D651B552179147F58886A2E7B8A3AFFD1">
    <w:name w:val="D651B552179147F58886A2E7B8A3AFFD1"/>
    <w:rsid w:val="00816766"/>
    <w:pPr>
      <w:spacing w:after="120" w:line="240" w:lineRule="auto"/>
    </w:pPr>
    <w:rPr>
      <w:rFonts w:eastAsiaTheme="minorHAnsi"/>
      <w:kern w:val="0"/>
      <w:sz w:val="24"/>
      <w:lang w:eastAsia="en-US"/>
      <w14:ligatures w14:val="none"/>
    </w:rPr>
  </w:style>
  <w:style w:type="paragraph" w:customStyle="1" w:styleId="7BFA5F1237994FAAB69B6001EDB9E4DF1">
    <w:name w:val="7BFA5F1237994FAAB69B6001EDB9E4DF1"/>
    <w:rsid w:val="00816766"/>
    <w:pPr>
      <w:spacing w:after="120" w:line="240" w:lineRule="auto"/>
    </w:pPr>
    <w:rPr>
      <w:rFonts w:eastAsiaTheme="minorHAnsi"/>
      <w:kern w:val="0"/>
      <w:sz w:val="24"/>
      <w:lang w:eastAsia="en-US"/>
      <w14:ligatures w14:val="none"/>
    </w:rPr>
  </w:style>
  <w:style w:type="paragraph" w:customStyle="1" w:styleId="DD72E44CE81B43A68AEC2077AA2D84E71">
    <w:name w:val="DD72E44CE81B43A68AEC2077AA2D84E71"/>
    <w:rsid w:val="00816766"/>
    <w:pPr>
      <w:spacing w:after="120" w:line="240" w:lineRule="auto"/>
    </w:pPr>
    <w:rPr>
      <w:rFonts w:eastAsiaTheme="minorHAnsi"/>
      <w:kern w:val="0"/>
      <w:sz w:val="24"/>
      <w:lang w:eastAsia="en-US"/>
      <w14:ligatures w14:val="none"/>
    </w:rPr>
  </w:style>
  <w:style w:type="paragraph" w:customStyle="1" w:styleId="CA9B9401E820443D8A757676BA44AC3C1">
    <w:name w:val="CA9B9401E820443D8A757676BA44AC3C1"/>
    <w:rsid w:val="00816766"/>
    <w:pPr>
      <w:spacing w:after="120" w:line="240" w:lineRule="auto"/>
    </w:pPr>
    <w:rPr>
      <w:rFonts w:eastAsiaTheme="minorHAnsi"/>
      <w:kern w:val="0"/>
      <w:sz w:val="24"/>
      <w:lang w:eastAsia="en-US"/>
      <w14:ligatures w14:val="none"/>
    </w:rPr>
  </w:style>
  <w:style w:type="paragraph" w:customStyle="1" w:styleId="2FCD3C40551A492D98D778B76A68F8501">
    <w:name w:val="2FCD3C40551A492D98D778B76A68F8501"/>
    <w:rsid w:val="00816766"/>
    <w:pPr>
      <w:spacing w:after="120" w:line="240" w:lineRule="auto"/>
    </w:pPr>
    <w:rPr>
      <w:rFonts w:eastAsiaTheme="minorHAnsi"/>
      <w:kern w:val="0"/>
      <w:sz w:val="24"/>
      <w:lang w:eastAsia="en-US"/>
      <w14:ligatures w14:val="none"/>
    </w:rPr>
  </w:style>
  <w:style w:type="paragraph" w:customStyle="1" w:styleId="D06F9CDD614748CAB28FDCA6B50A15CE1">
    <w:name w:val="D06F9CDD614748CAB28FDCA6B50A15CE1"/>
    <w:rsid w:val="00816766"/>
    <w:pPr>
      <w:spacing w:after="120" w:line="240" w:lineRule="auto"/>
    </w:pPr>
    <w:rPr>
      <w:rFonts w:eastAsiaTheme="minorHAnsi"/>
      <w:kern w:val="0"/>
      <w:sz w:val="24"/>
      <w:lang w:eastAsia="en-US"/>
      <w14:ligatures w14:val="none"/>
    </w:rPr>
  </w:style>
  <w:style w:type="paragraph" w:customStyle="1" w:styleId="F14B55033CC343929142E7EC2FBF4B751">
    <w:name w:val="F14B55033CC343929142E7EC2FBF4B751"/>
    <w:rsid w:val="00816766"/>
    <w:pPr>
      <w:spacing w:after="120" w:line="240" w:lineRule="auto"/>
    </w:pPr>
    <w:rPr>
      <w:rFonts w:eastAsiaTheme="minorHAnsi"/>
      <w:kern w:val="0"/>
      <w:sz w:val="24"/>
      <w:lang w:eastAsia="en-US"/>
      <w14:ligatures w14:val="none"/>
    </w:rPr>
  </w:style>
  <w:style w:type="paragraph" w:customStyle="1" w:styleId="D91497CCC0CF43EA9D0FD721D1308A791">
    <w:name w:val="D91497CCC0CF43EA9D0FD721D1308A791"/>
    <w:rsid w:val="00816766"/>
    <w:pPr>
      <w:spacing w:after="120" w:line="240" w:lineRule="auto"/>
    </w:pPr>
    <w:rPr>
      <w:rFonts w:eastAsiaTheme="minorHAnsi"/>
      <w:kern w:val="0"/>
      <w:sz w:val="24"/>
      <w:lang w:eastAsia="en-US"/>
      <w14:ligatures w14:val="none"/>
    </w:rPr>
  </w:style>
  <w:style w:type="paragraph" w:customStyle="1" w:styleId="D651B552179147F58886A2E7B8A3AFFD2">
    <w:name w:val="D651B552179147F58886A2E7B8A3AFFD2"/>
    <w:rsid w:val="007A4D27"/>
    <w:pPr>
      <w:spacing w:after="120" w:line="240" w:lineRule="auto"/>
    </w:pPr>
    <w:rPr>
      <w:rFonts w:eastAsiaTheme="minorHAnsi"/>
      <w:kern w:val="0"/>
      <w:sz w:val="24"/>
      <w:lang w:eastAsia="en-US"/>
      <w14:ligatures w14:val="none"/>
    </w:rPr>
  </w:style>
  <w:style w:type="paragraph" w:customStyle="1" w:styleId="7BFA5F1237994FAAB69B6001EDB9E4DF2">
    <w:name w:val="7BFA5F1237994FAAB69B6001EDB9E4DF2"/>
    <w:rsid w:val="007A4D27"/>
    <w:pPr>
      <w:spacing w:after="120" w:line="240" w:lineRule="auto"/>
    </w:pPr>
    <w:rPr>
      <w:rFonts w:eastAsiaTheme="minorHAnsi"/>
      <w:kern w:val="0"/>
      <w:sz w:val="24"/>
      <w:lang w:eastAsia="en-US"/>
      <w14:ligatures w14:val="none"/>
    </w:rPr>
  </w:style>
  <w:style w:type="paragraph" w:customStyle="1" w:styleId="DD72E44CE81B43A68AEC2077AA2D84E72">
    <w:name w:val="DD72E44CE81B43A68AEC2077AA2D84E72"/>
    <w:rsid w:val="007A4D27"/>
    <w:pPr>
      <w:spacing w:after="120" w:line="240" w:lineRule="auto"/>
    </w:pPr>
    <w:rPr>
      <w:rFonts w:eastAsiaTheme="minorHAnsi"/>
      <w:kern w:val="0"/>
      <w:sz w:val="24"/>
      <w:lang w:eastAsia="en-US"/>
      <w14:ligatures w14:val="none"/>
    </w:rPr>
  </w:style>
  <w:style w:type="paragraph" w:customStyle="1" w:styleId="CA9B9401E820443D8A757676BA44AC3C2">
    <w:name w:val="CA9B9401E820443D8A757676BA44AC3C2"/>
    <w:rsid w:val="007A4D27"/>
    <w:pPr>
      <w:spacing w:after="120" w:line="240" w:lineRule="auto"/>
    </w:pPr>
    <w:rPr>
      <w:rFonts w:eastAsiaTheme="minorHAnsi"/>
      <w:kern w:val="0"/>
      <w:sz w:val="24"/>
      <w:lang w:eastAsia="en-US"/>
      <w14:ligatures w14:val="none"/>
    </w:rPr>
  </w:style>
  <w:style w:type="paragraph" w:customStyle="1" w:styleId="2FCD3C40551A492D98D778B76A68F8502">
    <w:name w:val="2FCD3C40551A492D98D778B76A68F8502"/>
    <w:rsid w:val="007A4D27"/>
    <w:pPr>
      <w:spacing w:after="120" w:line="240" w:lineRule="auto"/>
    </w:pPr>
    <w:rPr>
      <w:rFonts w:eastAsiaTheme="minorHAnsi"/>
      <w:kern w:val="0"/>
      <w:sz w:val="24"/>
      <w:lang w:eastAsia="en-US"/>
      <w14:ligatures w14:val="none"/>
    </w:rPr>
  </w:style>
  <w:style w:type="paragraph" w:customStyle="1" w:styleId="D06F9CDD614748CAB28FDCA6B50A15CE2">
    <w:name w:val="D06F9CDD614748CAB28FDCA6B50A15CE2"/>
    <w:rsid w:val="007A4D27"/>
    <w:pPr>
      <w:spacing w:after="120" w:line="240" w:lineRule="auto"/>
    </w:pPr>
    <w:rPr>
      <w:rFonts w:eastAsiaTheme="minorHAnsi"/>
      <w:kern w:val="0"/>
      <w:sz w:val="24"/>
      <w:lang w:eastAsia="en-US"/>
      <w14:ligatures w14:val="none"/>
    </w:rPr>
  </w:style>
  <w:style w:type="paragraph" w:customStyle="1" w:styleId="F14B55033CC343929142E7EC2FBF4B752">
    <w:name w:val="F14B55033CC343929142E7EC2FBF4B752"/>
    <w:rsid w:val="007A4D27"/>
    <w:pPr>
      <w:spacing w:after="120" w:line="240" w:lineRule="auto"/>
    </w:pPr>
    <w:rPr>
      <w:rFonts w:eastAsiaTheme="minorHAnsi"/>
      <w:kern w:val="0"/>
      <w:sz w:val="24"/>
      <w:lang w:eastAsia="en-US"/>
      <w14:ligatures w14:val="none"/>
    </w:rPr>
  </w:style>
  <w:style w:type="paragraph" w:customStyle="1" w:styleId="D91497CCC0CF43EA9D0FD721D1308A792">
    <w:name w:val="D91497CCC0CF43EA9D0FD721D1308A792"/>
    <w:rsid w:val="007A4D27"/>
    <w:pPr>
      <w:spacing w:after="120" w:line="240" w:lineRule="auto"/>
    </w:pPr>
    <w:rPr>
      <w:rFonts w:eastAsiaTheme="minorHAnsi"/>
      <w:kern w:val="0"/>
      <w:sz w:val="24"/>
      <w:lang w:eastAsia="en-US"/>
      <w14:ligatures w14:val="none"/>
    </w:rPr>
  </w:style>
  <w:style w:type="paragraph" w:customStyle="1" w:styleId="D651B552179147F58886A2E7B8A3AFFD3">
    <w:name w:val="D651B552179147F58886A2E7B8A3AFFD3"/>
    <w:rsid w:val="007A4D27"/>
    <w:pPr>
      <w:spacing w:after="120" w:line="240" w:lineRule="auto"/>
    </w:pPr>
    <w:rPr>
      <w:rFonts w:eastAsiaTheme="minorHAnsi"/>
      <w:kern w:val="0"/>
      <w:sz w:val="24"/>
      <w:lang w:eastAsia="en-US"/>
      <w14:ligatures w14:val="none"/>
    </w:rPr>
  </w:style>
  <w:style w:type="paragraph" w:customStyle="1" w:styleId="7BFA5F1237994FAAB69B6001EDB9E4DF3">
    <w:name w:val="7BFA5F1237994FAAB69B6001EDB9E4DF3"/>
    <w:rsid w:val="007A4D27"/>
    <w:pPr>
      <w:spacing w:after="120" w:line="240" w:lineRule="auto"/>
    </w:pPr>
    <w:rPr>
      <w:rFonts w:eastAsiaTheme="minorHAnsi"/>
      <w:kern w:val="0"/>
      <w:sz w:val="24"/>
      <w:lang w:eastAsia="en-US"/>
      <w14:ligatures w14:val="none"/>
    </w:rPr>
  </w:style>
  <w:style w:type="paragraph" w:customStyle="1" w:styleId="DD72E44CE81B43A68AEC2077AA2D84E74">
    <w:name w:val="DD72E44CE81B43A68AEC2077AA2D84E74"/>
    <w:rsid w:val="007A4D27"/>
    <w:pPr>
      <w:spacing w:after="120" w:line="240" w:lineRule="auto"/>
    </w:pPr>
    <w:rPr>
      <w:rFonts w:eastAsiaTheme="minorHAnsi"/>
      <w:kern w:val="0"/>
      <w:sz w:val="24"/>
      <w:lang w:eastAsia="en-US"/>
      <w14:ligatures w14:val="none"/>
    </w:rPr>
  </w:style>
  <w:style w:type="paragraph" w:customStyle="1" w:styleId="CA9B9401E820443D8A757676BA44AC3C3">
    <w:name w:val="CA9B9401E820443D8A757676BA44AC3C3"/>
    <w:rsid w:val="007A4D27"/>
    <w:pPr>
      <w:spacing w:after="120" w:line="240" w:lineRule="auto"/>
    </w:pPr>
    <w:rPr>
      <w:rFonts w:eastAsiaTheme="minorHAnsi"/>
      <w:kern w:val="0"/>
      <w:sz w:val="24"/>
      <w:lang w:eastAsia="en-US"/>
      <w14:ligatures w14:val="none"/>
    </w:rPr>
  </w:style>
  <w:style w:type="paragraph" w:customStyle="1" w:styleId="2FCD3C40551A492D98D778B76A68F8503">
    <w:name w:val="2FCD3C40551A492D98D778B76A68F8503"/>
    <w:rsid w:val="007A4D27"/>
    <w:pPr>
      <w:spacing w:after="120" w:line="240" w:lineRule="auto"/>
    </w:pPr>
    <w:rPr>
      <w:rFonts w:eastAsiaTheme="minorHAnsi"/>
      <w:kern w:val="0"/>
      <w:sz w:val="24"/>
      <w:lang w:eastAsia="en-US"/>
      <w14:ligatures w14:val="none"/>
    </w:rPr>
  </w:style>
  <w:style w:type="paragraph" w:customStyle="1" w:styleId="D06F9CDD614748CAB28FDCA6B50A15CE3">
    <w:name w:val="D06F9CDD614748CAB28FDCA6B50A15CE3"/>
    <w:rsid w:val="007A4D27"/>
    <w:pPr>
      <w:spacing w:after="120" w:line="240" w:lineRule="auto"/>
    </w:pPr>
    <w:rPr>
      <w:rFonts w:eastAsiaTheme="minorHAnsi"/>
      <w:kern w:val="0"/>
      <w:sz w:val="24"/>
      <w:lang w:eastAsia="en-US"/>
      <w14:ligatures w14:val="none"/>
    </w:rPr>
  </w:style>
  <w:style w:type="paragraph" w:customStyle="1" w:styleId="F14B55033CC343929142E7EC2FBF4B753">
    <w:name w:val="F14B55033CC343929142E7EC2FBF4B753"/>
    <w:rsid w:val="007A4D27"/>
    <w:pPr>
      <w:spacing w:after="120" w:line="240" w:lineRule="auto"/>
    </w:pPr>
    <w:rPr>
      <w:rFonts w:eastAsiaTheme="minorHAnsi"/>
      <w:kern w:val="0"/>
      <w:sz w:val="24"/>
      <w:lang w:eastAsia="en-US"/>
      <w14:ligatures w14:val="none"/>
    </w:rPr>
  </w:style>
  <w:style w:type="paragraph" w:customStyle="1" w:styleId="D91497CCC0CF43EA9D0FD721D1308A793">
    <w:name w:val="D91497CCC0CF43EA9D0FD721D1308A793"/>
    <w:rsid w:val="007A4D27"/>
    <w:pPr>
      <w:spacing w:after="120" w:line="240" w:lineRule="auto"/>
    </w:pPr>
    <w:rPr>
      <w:rFonts w:eastAsiaTheme="minorHAnsi"/>
      <w:kern w:val="0"/>
      <w:sz w:val="24"/>
      <w:lang w:eastAsia="en-US"/>
      <w14:ligatures w14:val="none"/>
    </w:rPr>
  </w:style>
  <w:style w:type="paragraph" w:customStyle="1" w:styleId="750CB8CA42324E3B8DCFC3F1A19BCAC7">
    <w:name w:val="750CB8CA42324E3B8DCFC3F1A19BCAC7"/>
    <w:rsid w:val="00A51A1D"/>
    <w:pPr>
      <w:spacing w:line="278" w:lineRule="auto"/>
    </w:pPr>
    <w:rPr>
      <w:sz w:val="24"/>
      <w:szCs w:val="24"/>
    </w:rPr>
  </w:style>
  <w:style w:type="paragraph" w:customStyle="1" w:styleId="88E737F43C404AAEB184AAE6EF56EA44">
    <w:name w:val="88E737F43C404AAEB184AAE6EF56EA44"/>
    <w:rsid w:val="00A51A1D"/>
    <w:pPr>
      <w:spacing w:line="278" w:lineRule="auto"/>
    </w:pPr>
    <w:rPr>
      <w:sz w:val="24"/>
      <w:szCs w:val="24"/>
    </w:rPr>
  </w:style>
  <w:style w:type="paragraph" w:customStyle="1" w:styleId="3BDD7F22B5D744789947C7F741B83505">
    <w:name w:val="3BDD7F22B5D744789947C7F741B83505"/>
    <w:rsid w:val="00A51A1D"/>
    <w:pPr>
      <w:spacing w:line="278" w:lineRule="auto"/>
    </w:pPr>
    <w:rPr>
      <w:sz w:val="24"/>
      <w:szCs w:val="24"/>
    </w:rPr>
  </w:style>
  <w:style w:type="paragraph" w:customStyle="1" w:styleId="E043201D16EF455B8AA01633205EF181">
    <w:name w:val="E043201D16EF455B8AA01633205EF181"/>
    <w:rsid w:val="00A51A1D"/>
    <w:pPr>
      <w:spacing w:line="278" w:lineRule="auto"/>
    </w:pPr>
    <w:rPr>
      <w:sz w:val="24"/>
      <w:szCs w:val="24"/>
    </w:rPr>
  </w:style>
  <w:style w:type="paragraph" w:customStyle="1" w:styleId="D2007209DE1B4FDBB97048D3373D0516">
    <w:name w:val="D2007209DE1B4FDBB97048D3373D0516"/>
    <w:rsid w:val="00A51A1D"/>
    <w:pPr>
      <w:spacing w:line="278" w:lineRule="auto"/>
    </w:pPr>
    <w:rPr>
      <w:sz w:val="24"/>
      <w:szCs w:val="24"/>
    </w:rPr>
  </w:style>
  <w:style w:type="paragraph" w:customStyle="1" w:styleId="BEB9AE1EB8F04DB7B2A845CE3B99EDAB">
    <w:name w:val="BEB9AE1EB8F04DB7B2A845CE3B99EDAB"/>
    <w:rsid w:val="00A51A1D"/>
    <w:pPr>
      <w:spacing w:line="278" w:lineRule="auto"/>
    </w:pPr>
    <w:rPr>
      <w:sz w:val="24"/>
      <w:szCs w:val="24"/>
    </w:rPr>
  </w:style>
  <w:style w:type="paragraph" w:customStyle="1" w:styleId="84A0EEE99ED340CD8CF7854AFE52D503">
    <w:name w:val="84A0EEE99ED340CD8CF7854AFE52D503"/>
    <w:rsid w:val="00A51A1D"/>
    <w:pPr>
      <w:spacing w:line="278" w:lineRule="auto"/>
    </w:pPr>
    <w:rPr>
      <w:sz w:val="24"/>
      <w:szCs w:val="24"/>
    </w:rPr>
  </w:style>
  <w:style w:type="paragraph" w:customStyle="1" w:styleId="6070CB49FCDD4B97B7CE505FC7499C01">
    <w:name w:val="6070CB49FCDD4B97B7CE505FC7499C01"/>
    <w:rsid w:val="00A51A1D"/>
    <w:pPr>
      <w:spacing w:line="278" w:lineRule="auto"/>
    </w:pPr>
    <w:rPr>
      <w:sz w:val="24"/>
      <w:szCs w:val="24"/>
    </w:rPr>
  </w:style>
  <w:style w:type="paragraph" w:customStyle="1" w:styleId="D2D195B2FA274B8997740F9EAF2E6C24">
    <w:name w:val="D2D195B2FA274B8997740F9EAF2E6C24"/>
    <w:rsid w:val="00A51A1D"/>
    <w:pPr>
      <w:spacing w:line="278" w:lineRule="auto"/>
    </w:pPr>
    <w:rPr>
      <w:sz w:val="24"/>
      <w:szCs w:val="24"/>
    </w:rPr>
  </w:style>
  <w:style w:type="paragraph" w:customStyle="1" w:styleId="B55C0B94086045F0BA04BFF3171D15E5">
    <w:name w:val="B55C0B94086045F0BA04BFF3171D15E5"/>
    <w:rsid w:val="00A51A1D"/>
    <w:pPr>
      <w:spacing w:line="278" w:lineRule="auto"/>
    </w:pPr>
    <w:rPr>
      <w:sz w:val="24"/>
      <w:szCs w:val="24"/>
    </w:rPr>
  </w:style>
  <w:style w:type="paragraph" w:customStyle="1" w:styleId="C869FB7F69A446FDA68EA3665AE93F75">
    <w:name w:val="C869FB7F69A446FDA68EA3665AE93F75"/>
    <w:rsid w:val="00A51A1D"/>
    <w:pPr>
      <w:spacing w:line="278" w:lineRule="auto"/>
    </w:pPr>
    <w:rPr>
      <w:sz w:val="24"/>
      <w:szCs w:val="24"/>
    </w:rPr>
  </w:style>
  <w:style w:type="paragraph" w:customStyle="1" w:styleId="3B4183C7711349D8A5570C0AF205814B">
    <w:name w:val="3B4183C7711349D8A5570C0AF205814B"/>
    <w:rsid w:val="00A51A1D"/>
    <w:pPr>
      <w:spacing w:line="278" w:lineRule="auto"/>
    </w:pPr>
    <w:rPr>
      <w:sz w:val="24"/>
      <w:szCs w:val="24"/>
    </w:rPr>
  </w:style>
  <w:style w:type="paragraph" w:customStyle="1" w:styleId="23DACF3B3E72400EA46746E023FF97C6">
    <w:name w:val="23DACF3B3E72400EA46746E023FF97C6"/>
    <w:rsid w:val="00A51A1D"/>
    <w:pPr>
      <w:spacing w:line="278" w:lineRule="auto"/>
    </w:pPr>
    <w:rPr>
      <w:sz w:val="24"/>
      <w:szCs w:val="24"/>
    </w:rPr>
  </w:style>
  <w:style w:type="paragraph" w:customStyle="1" w:styleId="D9886BA240AA45BB8D2953002FE465F2">
    <w:name w:val="D9886BA240AA45BB8D2953002FE465F2"/>
    <w:rsid w:val="00A51A1D"/>
    <w:pPr>
      <w:spacing w:line="278" w:lineRule="auto"/>
    </w:pPr>
    <w:rPr>
      <w:sz w:val="24"/>
      <w:szCs w:val="24"/>
    </w:rPr>
  </w:style>
  <w:style w:type="paragraph" w:customStyle="1" w:styleId="BD35DF8E3A0743AAB1BAAD5117BE5503">
    <w:name w:val="BD35DF8E3A0743AAB1BAAD5117BE5503"/>
    <w:rsid w:val="00A51A1D"/>
    <w:pPr>
      <w:spacing w:line="278" w:lineRule="auto"/>
    </w:pPr>
    <w:rPr>
      <w:sz w:val="24"/>
      <w:szCs w:val="24"/>
    </w:rPr>
  </w:style>
  <w:style w:type="paragraph" w:customStyle="1" w:styleId="7F63A2C00EB6459196A4BD704F41D7C1">
    <w:name w:val="7F63A2C00EB6459196A4BD704F41D7C1"/>
    <w:rsid w:val="00A51A1D"/>
    <w:pPr>
      <w:spacing w:line="278" w:lineRule="auto"/>
    </w:pPr>
    <w:rPr>
      <w:sz w:val="24"/>
      <w:szCs w:val="24"/>
    </w:rPr>
  </w:style>
  <w:style w:type="paragraph" w:customStyle="1" w:styleId="311121BE140A49F2AFB26551203769E6">
    <w:name w:val="311121BE140A49F2AFB26551203769E6"/>
    <w:rsid w:val="00A51A1D"/>
    <w:pPr>
      <w:spacing w:line="278" w:lineRule="auto"/>
    </w:pPr>
    <w:rPr>
      <w:sz w:val="24"/>
      <w:szCs w:val="24"/>
    </w:rPr>
  </w:style>
  <w:style w:type="paragraph" w:customStyle="1" w:styleId="86CE9B44544D46979452A425A1783A86">
    <w:name w:val="86CE9B44544D46979452A425A1783A86"/>
    <w:rsid w:val="00A51A1D"/>
    <w:pPr>
      <w:spacing w:line="278" w:lineRule="auto"/>
    </w:pPr>
    <w:rPr>
      <w:sz w:val="24"/>
      <w:szCs w:val="24"/>
    </w:rPr>
  </w:style>
  <w:style w:type="paragraph" w:customStyle="1" w:styleId="1FD5AF7649984A5AB6ADCC47C9050196">
    <w:name w:val="1FD5AF7649984A5AB6ADCC47C9050196"/>
    <w:rsid w:val="00A51A1D"/>
    <w:pPr>
      <w:spacing w:line="278" w:lineRule="auto"/>
    </w:pPr>
    <w:rPr>
      <w:sz w:val="24"/>
      <w:szCs w:val="24"/>
    </w:rPr>
  </w:style>
  <w:style w:type="paragraph" w:customStyle="1" w:styleId="3F765F949F2B494DA38AD01D068BFD95">
    <w:name w:val="3F765F949F2B494DA38AD01D068BFD95"/>
    <w:rsid w:val="00A51A1D"/>
    <w:pPr>
      <w:spacing w:line="278" w:lineRule="auto"/>
    </w:pPr>
    <w:rPr>
      <w:sz w:val="24"/>
      <w:szCs w:val="24"/>
    </w:rPr>
  </w:style>
  <w:style w:type="paragraph" w:customStyle="1" w:styleId="49A732ADD3F645138FD933DCD55A8011">
    <w:name w:val="49A732ADD3F645138FD933DCD55A8011"/>
    <w:rsid w:val="00A51A1D"/>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a:themeElements>
    <a:clrScheme name="DAAD">
      <a:dk1>
        <a:srgbClr val="000000"/>
      </a:dk1>
      <a:lt1>
        <a:srgbClr val="ffffff"/>
      </a:lt1>
      <a:dk2>
        <a:srgbClr val="00a091"/>
      </a:dk2>
      <a:lt2>
        <a:srgbClr val="e6f0f0"/>
      </a:lt2>
      <a:accent1>
        <a:srgbClr val="00325f"/>
      </a:accent1>
      <a:accent2>
        <a:srgbClr val="0060af"/>
      </a:accent2>
      <a:accent3>
        <a:srgbClr val="1e96d2"/>
      </a:accent3>
      <a:accent4>
        <a:srgbClr val="324b50"/>
      </a:accent4>
      <a:accent5>
        <a:srgbClr val="8296a0"/>
      </a:accent5>
      <a:accent6>
        <a:srgbClr val="e6f0f0"/>
      </a:accent6>
      <a:hlink>
        <a:srgbClr val="0060af"/>
      </a:hlink>
      <a:folHlink>
        <a:srgbClr val="00a091"/>
      </a:folHlink>
    </a:clrScheme>
    <a:fontScheme name="DAAD Word">
      <a:majorFont>
        <a:latin typeface="Source Sans Pro Bold" pitchFamily="0" charset="1"/>
        <a:ea typeface=""/>
        <a:cs typeface=""/>
      </a:majorFont>
      <a:minorFont>
        <a:latin typeface="Source Sans Pro"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FachlAnsprechpartner xmlns="59efd87a-07ee-4244-966d-31e31d12a345">
      <UserInfo>
        <DisplayName>i:0#.f|membership|krosigk@daad.de</DisplayName>
        <AccountId>368</AccountId>
        <AccountType/>
      </UserInfo>
      <UserInfo>
        <DisplayName>i:0#.f|membership|nazarova@daad.de</DisplayName>
        <AccountId>484</AccountId>
        <AccountType/>
      </UserInfo>
    </FachlAnsprechpartner>
    <m4de2513dde24d68b445b103284498e1 xmlns="258ee1c0-7c54-48b6-8a6d-ecbcf80e686b">
      <Terms xmlns="http://schemas.microsoft.com/office/infopath/2007/PartnerControls">
        <TermInfo>
          <TermName>Projektförderung</TermName>
          <TermId>debfc8b2-62f5-4dc2-be8c-3c839e51ac8a</TermId>
        </TermInfo>
        <TermInfo>
          <TermName>Programme mit Ausschreibung</TermName>
          <TermId>9e82e499-33e3-4fbc-9cc1-db4eb29aa169</TermId>
        </TermInfo>
        <TermInfo>
          <TermName>Programme ohne Ausschreibung</TermName>
          <TermId>867a78e1-4f37-4368-b382-f9c954065ba3</TermId>
        </TermInfo>
        <TermInfo>
          <TermName>Wirkungsorientiertes Monitoring</TermName>
          <TermId>30714855-381e-4882-b623-755167148615</TermId>
        </TermInfo>
      </Terms>
    </m4de2513dde24d68b445b103284498e1>
    <TaxCatchAll xmlns="145de765-d54b-4b65-981d-9bbc827d75dc">
      <Value>135</Value>
      <Value>150</Value>
      <Value>197</Value>
      <Value>196</Value>
      <Value>160</Value>
      <Value>56</Value>
    </TaxCatchAll>
    <ja99b078d6ab4915b4ff4d22870f9af8 xmlns="258ee1c0-7c54-48b6-8a6d-ecbcf80e686b">P11|0e76d299-af4f-4335-9951-834bb7cdf72b</ja99b078d6ab4915b4ff4d22870f9af8>
    <Archivierung xmlns="258ee1c0-7c54-48b6-8a6d-ecbcf80e686b">Im Intranet belassen</Archivierung>
    <_x00dc_berpr_x00fc_fung_x0020_f_x00e4_llig_x0020_am xmlns="258ee1c0-7c54-48b6-8a6d-ecbcf80e686b">2025-08-29T22:00:00+00:00</_x00dc_berpr_x00fc_fung_x0020_f_x00e4_llig_x0020_am>
    <Hinweis_x0020_Dokumenten_x00fc_berpr_x00fc_fung xmlns="258ee1c0-7c54-48b6-8a6d-ecbcf80e686b" xsi:nil="true"/>
    <Kommentar xmlns="258ee1c0-7c54-48b6-8a6d-ecbcf80e686b" xsi:nil="true"/>
    <a8cd30f18efa4a9085998e5437102ea2 xmlns="258ee1c0-7c54-48b6-8a6d-ecbcf80e686b">
      <Terms xmlns="http://schemas.microsoft.com/office/infopath/2007/PartnerControls">
        <TermInfo>
          <TermName>Formular / Formularerläuterungen</TermName>
          <TermId>42e514cf-90f7-4a26-ab9d-263ee3f69356</TermId>
        </TermInfo>
      </Terms>
    </a8cd30f18efa4a9085998e5437102ea2>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578D2880ED05F7419921F09AA4039BBC" ma:contentTypeVersion="41" ma:contentTypeDescription="Ein neues Dokument erstellen." ma:contentTypeScope="" ma:versionID="39f0c3e4889eca83b6cdb7d1383b2cb7">
  <xsd:schema xmlns:xsd="http://www.w3.org/2001/XMLSchema" xmlns:xs="http://www.w3.org/2001/XMLSchema" xmlns:p="http://schemas.microsoft.com/office/2006/metadata/properties" xmlns:ns2="258ee1c0-7c54-48b6-8a6d-ecbcf80e686b" xmlns:ns3="59efd87a-07ee-4244-966d-31e31d12a345" xmlns:ns4="145de765-d54b-4b65-981d-9bbc827d75dc" targetNamespace="http://schemas.microsoft.com/office/2006/metadata/properties" ma:root="true" ma:fieldsID="22a94e64e2f8fd4c84a51d16712e4381" ns2:_="" ns3:_="" ns4:_="">
    <xsd:import namespace="258ee1c0-7c54-48b6-8a6d-ecbcf80e686b"/>
    <xsd:import namespace="59efd87a-07ee-4244-966d-31e31d12a345"/>
    <xsd:import namespace="145de765-d54b-4b65-981d-9bbc827d75dc"/>
    <xsd:element name="properties">
      <xsd:complexType>
        <xsd:sequence>
          <xsd:element name="documentManagement">
            <xsd:complexType>
              <xsd:all>
                <xsd:element ref="ns2:Kommentar" minOccurs="0"/>
                <xsd:element ref="ns3:FachlAnsprechpartner" minOccurs="0"/>
                <xsd:element ref="ns2:Archivierung"/>
                <xsd:element ref="ns4:TaxCatchAll" minOccurs="0"/>
                <xsd:element ref="ns2:_x00dc_berpr_x00fc_fung_x0020_f_x00e4_llig_x0020_am"/>
                <xsd:element ref="ns2:Hinweis_x0020_Dokumenten_x00fc_berpr_x00fc_fung" minOccurs="0"/>
                <xsd:element ref="ns2:m4de2513dde24d68b445b103284498e1" minOccurs="0"/>
                <xsd:element ref="ns2:ja99b078d6ab4915b4ff4d22870f9af8" minOccurs="0"/>
                <xsd:element ref="ns2:a8cd30f18efa4a9085998e5437102ea2" minOccurs="0"/>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8ee1c0-7c54-48b6-8a6d-ecbcf80e686b" elementFormDefault="qualified">
    <xsd:import namespace="http://schemas.microsoft.com/office/2006/documentManagement/types"/>
    <xsd:import namespace="http://schemas.microsoft.com/office/infopath/2007/PartnerControls"/>
    <xsd:element name="Kommentar" ma:index="2" nillable="true" ma:displayName="Kommentar" ma:internalName="Kommentar" ma:readOnly="false">
      <xsd:simpleType>
        <xsd:restriction base="dms:Note">
          <xsd:maxLength value="255"/>
        </xsd:restriction>
      </xsd:simpleType>
    </xsd:element>
    <xsd:element name="Archivierung" ma:index="7" ma:displayName="Archivierung" ma:default="Im Intranet belassen" ma:format="RadioButtons" ma:internalName="Archivierung" ma:readOnly="false">
      <xsd:simpleType>
        <xsd:restriction base="dms:Choice">
          <xsd:enumeration value="Im Intranet belassen"/>
          <xsd:enumeration value="Ins Intranetarchiv verschieben"/>
        </xsd:restriction>
      </xsd:simpleType>
    </xsd:element>
    <xsd:element name="_x00dc_berpr_x00fc_fung_x0020_f_x00e4_llig_x0020_am" ma:index="15" ma:displayName="Überprüfung fällig am" ma:format="DateOnly" ma:internalName="_x00dc_berpr_x00fc_fung_x0020_f_x00e4_llig_x0020_am" ma:readOnly="false">
      <xsd:simpleType>
        <xsd:restriction base="dms:DateTime"/>
      </xsd:simpleType>
    </xsd:element>
    <xsd:element name="Hinweis_x0020_Dokumenten_x00fc_berpr_x00fc_fung" ma:index="16" nillable="true" ma:displayName="Hinweis Dokumentenüberprüfung" ma:internalName="Hinweis_x0020_Dokumenten_x00fc_berpr_x00fc_fung" ma:readOnly="false">
      <xsd:simpleType>
        <xsd:restriction base="dms:Note">
          <xsd:maxLength value="255"/>
        </xsd:restriction>
      </xsd:simpleType>
    </xsd:element>
    <xsd:element name="m4de2513dde24d68b445b103284498e1" ma:index="17" ma:taxonomy="true" ma:internalName="m4de2513dde24d68b445b103284498e1" ma:taxonomyFieldName="Schlagwort" ma:displayName="Schlagwort" ma:readOnly="false" ma:fieldId="{64de2513-dde2-4d68-b445-b103284498e1}" ma:taxonomyMulti="true" ma:sspId="a001fbed-1328-4d18-8512-813304929403" ma:termSetId="ad712d94-146e-418d-b223-b2f90cfd56df" ma:anchorId="00000000-0000-0000-0000-000000000000" ma:open="false" ma:isKeyword="false">
      <xsd:complexType>
        <xsd:sequence>
          <xsd:element ref="pc:Terms" minOccurs="0" maxOccurs="1"/>
        </xsd:sequence>
      </xsd:complexType>
    </xsd:element>
    <xsd:element name="ja99b078d6ab4915b4ff4d22870f9af8" ma:index="18" nillable="true" ma:displayName="Organisationseinheit_0" ma:hidden="true" ma:internalName="ja99b078d6ab4915b4ff4d22870f9af8" ma:readOnly="false">
      <xsd:simpleType>
        <xsd:restriction base="dms:Note"/>
      </xsd:simpleType>
    </xsd:element>
    <xsd:element name="a8cd30f18efa4a9085998e5437102ea2" ma:index="19" ma:taxonomy="true" ma:internalName="a8cd30f18efa4a9085998e5437102ea2" ma:taxonomyFieldName="Dokumentenart" ma:displayName="Dokumentenart" ma:readOnly="false" ma:fieldId="{a8cd30f1-8efa-4a90-8599-8e5437102ea2}" ma:sspId="a001fbed-1328-4d18-8512-813304929403" ma:termSetId="09a3c5c6-f1e5-427b-a7d0-4017eaa56902" ma:anchorId="00000000-0000-0000-0000-000000000000" ma:open="false" ma:isKeyword="false">
      <xsd:complexType>
        <xsd:sequence>
          <xsd:element ref="pc:Terms" minOccurs="0" maxOccurs="1"/>
        </xsd:sequence>
      </xsd:complexType>
    </xsd:element>
    <xsd:element name="MediaServiceMetadata" ma:index="20" nillable="true" ma:displayName="MediaServiceMetadata" ma:hidden="true" ma:internalName="MediaServiceMetadata" ma:readOnly="true">
      <xsd:simpleType>
        <xsd:restriction base="dms:Note"/>
      </xsd:simpleType>
    </xsd:element>
    <xsd:element name="MediaServiceFastMetadata" ma:index="21" nillable="true" ma:displayName="MediaServiceFastMetadata" ma:hidden="true" ma:internalName="MediaServiceFastMetadata" ma:readOnly="true">
      <xsd:simpleType>
        <xsd:restriction base="dms:Note"/>
      </xsd:simpleType>
    </xsd:element>
    <xsd:element name="MediaServiceDateTaken" ma:index="22" nillable="true" ma:displayName="MediaServiceDateTaken" ma:hidden="true" ma:internalName="MediaServiceDateTaken" ma:readOnly="true">
      <xsd:simpleType>
        <xsd:restriction base="dms:Text"/>
      </xsd:simpleType>
    </xsd:element>
    <xsd:element name="MediaServiceAutoTags" ma:index="23" nillable="true" ma:displayName="Tags" ma:internalName="MediaServiceAutoTags"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efd87a-07ee-4244-966d-31e31d12a345" elementFormDefault="qualified">
    <xsd:import namespace="http://schemas.microsoft.com/office/2006/documentManagement/types"/>
    <xsd:import namespace="http://schemas.microsoft.com/office/infopath/2007/PartnerControls"/>
    <xsd:element name="FachlAnsprechpartner" ma:index="6" nillable="true" ma:displayName="Fachl. Ansprechpartner" ma:list="UserInfo" ma:SharePointGroup="0" ma:internalName="FachlAnsprechpartne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45de765-d54b-4b65-981d-9bbc827d75dc"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9303ad6-b46d-4387-b1fa-f00e06248f59}" ma:internalName="TaxCatchAll" ma:showField="CatchAllData" ma:web="59efd87a-07ee-4244-966d-31e31d12a3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Inhaltstyp"/>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E23C9D-916B-4748-AB2A-8907FE96B1CD}">
  <ds:schemaRefs>
    <ds:schemaRef ds:uri="http://schemas.openxmlformats.org/officeDocument/2006/bibliography"/>
  </ds:schemaRefs>
</ds:datastoreItem>
</file>

<file path=customXml/itemProps2.xml><?xml version="1.0" encoding="utf-8"?>
<ds:datastoreItem xmlns:ds="http://schemas.openxmlformats.org/officeDocument/2006/customXml" ds:itemID="{37F66746-99DE-4ADA-BC55-3E49B1775E83}">
  <ds:schemaRefs>
    <ds:schemaRef ds:uri="http://schemas.microsoft.com/office/2006/metadata/properties"/>
    <ds:schemaRef ds:uri="http://schemas.microsoft.com/office/infopath/2007/PartnerControls"/>
    <ds:schemaRef ds:uri="59efd87a-07ee-4244-966d-31e31d12a345"/>
    <ds:schemaRef ds:uri="258ee1c0-7c54-48b6-8a6d-ecbcf80e686b"/>
    <ds:schemaRef ds:uri="145de765-d54b-4b65-981d-9bbc827d75dc"/>
  </ds:schemaRefs>
</ds:datastoreItem>
</file>

<file path=customXml/itemProps3.xml><?xml version="1.0" encoding="utf-8"?>
<ds:datastoreItem xmlns:ds="http://schemas.openxmlformats.org/officeDocument/2006/customXml" ds:itemID="{D0E2F677-DB53-499D-93BA-4EBFA8498FB5}">
  <ds:schemaRefs>
    <ds:schemaRef ds:uri="http://schemas.microsoft.com/sharepoint/v3/contenttype/forms"/>
  </ds:schemaRefs>
</ds:datastoreItem>
</file>

<file path=customXml/itemProps4.xml><?xml version="1.0" encoding="utf-8"?>
<ds:datastoreItem xmlns:ds="http://schemas.openxmlformats.org/officeDocument/2006/customXml" ds:itemID="{4157A075-B028-4542-A18E-2FF26C5406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8ee1c0-7c54-48b6-8a6d-ecbcf80e686b"/>
    <ds:schemaRef ds:uri="59efd87a-07ee-4244-966d-31e31d12a345"/>
    <ds:schemaRef ds:uri="145de765-d54b-4b65-981d-9bbc827d75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Collabora_Office/25.04.6.1$Linux_X86_64 LibreOffice_project/1942b5e6e9a7fd36bf8aebea96351f8442131ce3</Application>
  <AppVersion>15.0000</AppVersion>
  <Pages>3</Pages>
  <Words>6731</Words>
  <Characters>50261</Characters>
  <CharactersWithSpaces>56856</CharactersWithSpaces>
  <Paragraphs>196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2026-02-02T10:19:00Z</dcterms:created>
  <dc:creator>Sophie Becker</dc:creator>
  <dc:description/>
  <dc:language>en-US</dc:language>
  <cp:lastModifiedBy/>
  <cp:lastPrinted>2023-06-22T11:06:00Z</cp:lastPrinted>
  <dcterms:modified xsi:type="dcterms:W3CDTF">2026-04-23T05:51:27Z</dcterms:modified>
  <cp:revision>5</cp:revision>
  <dc:subject/>
  <dc:title>Formularvorlage Projektbeschreibung für Förderprogramme mit WoM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0x010100578D2880ED05F7419921F09AA4039BBC</vt:lpwstr>
  </property>
  <property fmtid="{D5CDD505-2E9C-101B-9397-08002B2CF9AE}" pid="3" name="Dokumentenart">
    <vt:lpwstr>56;#Formular / Formularerläuterungen|42e514cf-90f7-4a26-ab9d-263ee3f69356</vt:lpwstr>
  </property>
  <property fmtid="{D5CDD505-2E9C-101B-9397-08002B2CF9AE}" pid="4" name="Organisationseinheit">
    <vt:lpwstr>135;#P11|0e76d299-af4f-4335-9951-834bb7cdf72b</vt:lpwstr>
  </property>
  <property fmtid="{D5CDD505-2E9C-101B-9397-08002B2CF9AE}" pid="5" name="Schlagwort">
    <vt:lpwstr>160;#Projektförderung|debfc8b2-62f5-4dc2-be8c-3c839e51ac8a;#196;#Programme mit Ausschreibung|9e82e499-33e3-4fbc-9cc1-db4eb29aa169;#197;#Programme ohne Ausschreibung|867a78e1-4f37-4368-b382-f9c954065ba3;#150;#Wirkungsorientiertes Monitoring|30714855-381e-4882-b623-755167148615</vt:lpwstr>
  </property>
  <property fmtid="{D5CDD505-2E9C-101B-9397-08002B2CF9AE}" pid="6" name="Thema">
    <vt:lpwstr>Bewilligungsschreiben</vt:lpwstr>
  </property>
</Properties>
</file>