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7.png" ContentType="image/png"/>
  <Override PartName="/word/media/rId47.png" ContentType="image/png"/>
  <Override PartName="/word/media/rId4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New</w:t>
      </w:r>
      <w:r>
        <w:t xml:space="preserve"> </w:t>
      </w:r>
      <w:r>
        <w:t xml:space="preserve">Norwegian</w:t>
      </w:r>
      <w:r>
        <w:t xml:space="preserve"> </w:t>
      </w:r>
      <w:r>
        <w:t xml:space="preserve">tangle</w:t>
      </w:r>
      <w:r>
        <w:t xml:space="preserve"> </w:t>
      </w:r>
      <w:r>
        <w:t xml:space="preserve">and</w:t>
      </w:r>
      <w:r>
        <w:t xml:space="preserve"> </w:t>
      </w:r>
      <w:r>
        <w:t xml:space="preserve">sugar</w:t>
      </w:r>
      <w:r>
        <w:t xml:space="preserve"> </w:t>
      </w:r>
      <w:r>
        <w:t xml:space="preserve">kelp</w:t>
      </w:r>
      <w:r>
        <w:t xml:space="preserve"> </w:t>
      </w:r>
      <w:r>
        <w:t xml:space="preserve">models</w:t>
      </w:r>
    </w:p>
    <w:p>
      <w:pPr>
        <w:pStyle w:val="Author"/>
      </w:pPr>
      <w:r>
        <w:t xml:space="preserve">Guri</w:t>
      </w:r>
      <w:r>
        <w:t xml:space="preserve"> </w:t>
      </w:r>
      <w:r>
        <w:t xml:space="preserve">Sogn</w:t>
      </w:r>
      <w:r>
        <w:t xml:space="preserve"> </w:t>
      </w:r>
      <w:r>
        <w:t xml:space="preserve">Andersen</w:t>
      </w:r>
      <w:r>
        <w:t xml:space="preserve"> </w:t>
      </w:r>
      <w:r>
        <w:t xml:space="preserve">&amp;</w:t>
      </w:r>
      <w:r>
        <w:t xml:space="preserve"> </w:t>
      </w:r>
      <w:r>
        <w:t xml:space="preserve">Kristina</w:t>
      </w:r>
      <w:r>
        <w:t xml:space="preserve"> </w:t>
      </w:r>
      <w:r>
        <w:t xml:space="preserve">Kvile</w:t>
      </w:r>
    </w:p>
    <w:p>
      <w:pPr>
        <w:pStyle w:val="Date"/>
      </w:pPr>
      <w:r>
        <w:t xml:space="preserve">4</w:t>
      </w:r>
      <w:r>
        <w:t xml:space="preserve"> </w:t>
      </w:r>
      <w:r>
        <w:t xml:space="preserve">8</w:t>
      </w:r>
      <w:r>
        <w:t xml:space="preserve"> </w:t>
      </w:r>
      <w:r>
        <w:t xml:space="preserve">2022</w:t>
      </w:r>
    </w:p>
    <w:bookmarkStart w:id="20" w:name="journal"/>
    <w:p>
      <w:pPr>
        <w:pStyle w:val="Heading1"/>
      </w:pPr>
      <w:r>
        <w:rPr>
          <w:rStyle w:val="SectionNumber"/>
        </w:rPr>
        <w:t xml:space="preserve">1</w:t>
      </w:r>
      <w:r>
        <w:tab/>
      </w:r>
      <w:r>
        <w:t xml:space="preserve">Journal</w:t>
      </w:r>
    </w:p>
    <w:p>
      <w:pPr>
        <w:pStyle w:val="FirstParagraph"/>
      </w:pPr>
      <w:r>
        <w:t xml:space="preserve">Hva med Ecography?</w:t>
      </w:r>
      <w:r>
        <w:t xml:space="preserve"> </w:t>
      </w:r>
      <w:r>
        <w:t xml:space="preserve">Diskuterte også med HGU å dele opp i to artikler. 1) Artikkel der vi publiserer modellen fra blått karbon-prosjektet, og 2) artikkel der vi har forenklet modell og viser fortid- og framtidsprediksjoner. Det er nr 1 vi har skrevet outline til her:</w:t>
      </w:r>
    </w:p>
    <w:bookmarkEnd w:id="20"/>
    <w:bookmarkStart w:id="24" w:name="outline"/>
    <w:p>
      <w:pPr>
        <w:pStyle w:val="Heading1"/>
      </w:pPr>
      <w:r>
        <w:rPr>
          <w:rStyle w:val="SectionNumber"/>
        </w:rPr>
        <w:t xml:space="preserve">2</w:t>
      </w:r>
      <w:r>
        <w:tab/>
      </w:r>
      <w:r>
        <w:t xml:space="preserve">Outline</w:t>
      </w:r>
    </w:p>
    <w:p>
      <w:pPr>
        <w:pStyle w:val="FirstParagraph"/>
      </w:pPr>
      <w:r>
        <w:t xml:space="preserve">Try to keep it short and simple. Avoid all the standard stuff about kelp and the importance of kelp forests. Should go without explicit saying when describing the Blue Carbon project aims etc. (The people seeking this information probably knows all that stuff anyways …)</w:t>
      </w:r>
    </w:p>
    <w:bookmarkStart w:id="21" w:name="introduction"/>
    <w:p>
      <w:pPr>
        <w:pStyle w:val="Heading2"/>
      </w:pPr>
      <w:r>
        <w:rPr>
          <w:rStyle w:val="SectionNumber"/>
        </w:rPr>
        <w:t xml:space="preserve">2.1</w:t>
      </w:r>
      <w:r>
        <w:tab/>
      </w:r>
      <w:r>
        <w:t xml:space="preserve">Introduction</w:t>
      </w:r>
    </w:p>
    <w:p>
      <w:pPr>
        <w:numPr>
          <w:ilvl w:val="0"/>
          <w:numId w:val="1001"/>
        </w:numPr>
        <w:pStyle w:val="Compact"/>
      </w:pPr>
      <w:r>
        <w:t xml:space="preserve">Nordic Blue Carbon Project - background, aim, prospects?</w:t>
      </w:r>
    </w:p>
    <w:p>
      <w:pPr>
        <w:numPr>
          <w:ilvl w:val="0"/>
          <w:numId w:val="1001"/>
        </w:numPr>
        <w:pStyle w:val="Compact"/>
      </w:pPr>
      <w:r>
        <w:t xml:space="preserve">Knowledge sought by Norwegian and Nordic authorities</w:t>
      </w:r>
    </w:p>
    <w:p>
      <w:pPr>
        <w:numPr>
          <w:ilvl w:val="0"/>
          <w:numId w:val="1001"/>
        </w:numPr>
        <w:pStyle w:val="Compact"/>
      </w:pPr>
      <w:r>
        <w:t xml:space="preserve">The SDM models - uses and output</w:t>
      </w:r>
    </w:p>
    <w:p>
      <w:pPr>
        <w:numPr>
          <w:ilvl w:val="0"/>
          <w:numId w:val="1001"/>
        </w:numPr>
        <w:pStyle w:val="Compact"/>
      </w:pPr>
      <w:r>
        <w:t xml:space="preserve">The kelp models</w:t>
      </w:r>
    </w:p>
    <w:p>
      <w:pPr>
        <w:numPr>
          <w:ilvl w:val="1"/>
          <w:numId w:val="1002"/>
        </w:numPr>
        <w:pStyle w:val="Compact"/>
      </w:pPr>
      <w:r>
        <w:t xml:space="preserve">Unique in spatial coverage and resolution</w:t>
      </w:r>
    </w:p>
    <w:p>
      <w:pPr>
        <w:numPr>
          <w:ilvl w:val="1"/>
          <w:numId w:val="1002"/>
        </w:numPr>
        <w:pStyle w:val="Compact"/>
      </w:pPr>
      <w:r>
        <w:t xml:space="preserve">Potential uses</w:t>
      </w:r>
    </w:p>
    <w:bookmarkEnd w:id="21"/>
    <w:bookmarkStart w:id="22" w:name="X8f6e3167600073a73f1ae2ae42626d75b7c701f"/>
    <w:p>
      <w:pPr>
        <w:pStyle w:val="Heading2"/>
      </w:pPr>
      <w:r>
        <w:rPr>
          <w:rStyle w:val="SectionNumber"/>
        </w:rPr>
        <w:t xml:space="preserve">2.2</w:t>
      </w:r>
      <w:r>
        <w:tab/>
      </w:r>
      <w:r>
        <w:t xml:space="preserve">Mat &amp; Met - translate from report and use some text from Nordic paper</w:t>
      </w:r>
    </w:p>
    <w:p>
      <w:pPr>
        <w:numPr>
          <w:ilvl w:val="0"/>
          <w:numId w:val="1003"/>
        </w:numPr>
        <w:pStyle w:val="Compact"/>
      </w:pPr>
      <w:r>
        <w:t xml:space="preserve">Observation data: Description of data, maps of observation points</w:t>
      </w:r>
    </w:p>
    <w:p>
      <w:pPr>
        <w:numPr>
          <w:ilvl w:val="0"/>
          <w:numId w:val="1003"/>
        </w:numPr>
        <w:pStyle w:val="Compact"/>
      </w:pPr>
      <w:r>
        <w:t xml:space="preserve">Environmental data: Table with variable, source and summary stats (range, mean, etc …)</w:t>
      </w:r>
    </w:p>
    <w:p>
      <w:pPr>
        <w:numPr>
          <w:ilvl w:val="0"/>
          <w:numId w:val="1003"/>
        </w:numPr>
        <w:pStyle w:val="Compact"/>
      </w:pPr>
      <w:r>
        <w:t xml:space="preserve">Brief discussion of attempt of including urchin grazing pressure (not included in present version)</w:t>
      </w:r>
    </w:p>
    <w:p>
      <w:pPr>
        <w:numPr>
          <w:ilvl w:val="0"/>
          <w:numId w:val="1003"/>
        </w:numPr>
        <w:pStyle w:val="Compact"/>
      </w:pPr>
      <w:r>
        <w:t xml:space="preserve">Modeling: BRT fitting</w:t>
      </w:r>
    </w:p>
    <w:bookmarkEnd w:id="22"/>
    <w:bookmarkStart w:id="23" w:name="results-disc"/>
    <w:p>
      <w:pPr>
        <w:pStyle w:val="Heading2"/>
      </w:pPr>
      <w:r>
        <w:rPr>
          <w:rStyle w:val="SectionNumber"/>
        </w:rPr>
        <w:t xml:space="preserve">2.3</w:t>
      </w:r>
      <w:r>
        <w:tab/>
      </w:r>
      <w:r>
        <w:t xml:space="preserve">Results + Disc</w:t>
      </w:r>
    </w:p>
    <w:p>
      <w:pPr>
        <w:numPr>
          <w:ilvl w:val="0"/>
          <w:numId w:val="1004"/>
        </w:numPr>
        <w:pStyle w:val="Compact"/>
      </w:pPr>
      <w:r>
        <w:t xml:space="preserve">Validation</w:t>
      </w:r>
    </w:p>
    <w:p>
      <w:pPr>
        <w:numPr>
          <w:ilvl w:val="0"/>
          <w:numId w:val="1004"/>
        </w:numPr>
        <w:pStyle w:val="Compact"/>
      </w:pPr>
      <w:r>
        <w:t xml:space="preserve">Some key numbers and discussions of their validity. See Gundersen et al 2022 to avoid conflicts and/or duplicate publ</w:t>
      </w:r>
    </w:p>
    <w:p>
      <w:pPr>
        <w:numPr>
          <w:ilvl w:val="0"/>
          <w:numId w:val="1004"/>
        </w:numPr>
        <w:pStyle w:val="Compact"/>
      </w:pPr>
      <w:r>
        <w:t xml:space="preserve">Strengths and weaknesses</w:t>
      </w:r>
    </w:p>
    <w:p>
      <w:pPr>
        <w:numPr>
          <w:ilvl w:val="0"/>
          <w:numId w:val="1004"/>
        </w:numPr>
        <w:pStyle w:val="Compact"/>
      </w:pPr>
      <w:r>
        <w:t xml:space="preserve">Future prospects -</w:t>
      </w:r>
      <w:r>
        <w:t xml:space="preserve"> </w:t>
      </w:r>
      <w:r>
        <w:t xml:space="preserve">“</w:t>
      </w:r>
      <w:r>
        <w:t xml:space="preserve">teaser</w:t>
      </w:r>
      <w:r>
        <w:t xml:space="preserve">”</w:t>
      </w:r>
    </w:p>
    <w:bookmarkEnd w:id="23"/>
    <w:bookmarkEnd w:id="24"/>
    <w:bookmarkStart w:id="25" w:name="authors"/>
    <w:p>
      <w:pPr>
        <w:pStyle w:val="Heading1"/>
      </w:pPr>
      <w:r>
        <w:rPr>
          <w:rStyle w:val="SectionNumber"/>
        </w:rPr>
        <w:t xml:space="preserve">3</w:t>
      </w:r>
      <w:r>
        <w:tab/>
      </w:r>
      <w:r>
        <w:t xml:space="preserve">AUTHORS:</w:t>
      </w:r>
    </w:p>
    <w:p>
      <w:pPr>
        <w:pStyle w:val="FirstParagraph"/>
      </w:pPr>
      <w:r>
        <w:rPr>
          <w:bCs/>
          <w:b/>
        </w:rPr>
        <w:t xml:space="preserve">Guri Sogn Andersen</w:t>
      </w:r>
      <w:r>
        <w:t xml:space="preserve">, Kristina Kvile, …., Helene Frigstad, Hege Gundersen</w:t>
      </w:r>
    </w:p>
    <w:bookmarkEnd w:id="25"/>
    <w:bookmarkStart w:id="26" w:name="introduction-1"/>
    <w:p>
      <w:pPr>
        <w:pStyle w:val="Heading1"/>
      </w:pPr>
      <w:r>
        <w:rPr>
          <w:rStyle w:val="SectionNumber"/>
        </w:rPr>
        <w:t xml:space="preserve">4</w:t>
      </w:r>
      <w:r>
        <w:tab/>
      </w:r>
      <w:r>
        <w:t xml:space="preserve">INTRODUCTION</w:t>
      </w:r>
    </w:p>
    <w:p>
      <w:pPr>
        <w:pStyle w:val="FirstParagraph"/>
      </w:pPr>
      <w:r>
        <w:t xml:space="preserve">Increased focus on ecosystem services provided by kelps and other macroalgae along temperate coasts worldwide (e.g., Smale et al., 2013; Rebours et al., 2014) has resulted in a growing literature on the status and trends of kelp forest distributions and conditions (Araújo et al., 2016; Krumhansl et al., 2016; Wernberg et al., 2019, Kvile et al., 2022). Ecosystems deterioration and rapid declines in biodiversity globally (IPBES, 2019) has reinforced the need to quantify the distribution and key characteristics of these highly diverse coastal habitats. Baseline data are often lacking, albeit direly needed in order to monitor and assess any negative human impact on kelp-associated ecosystem services. Publications with global perspectives on the importance of macroalgae in marine carbon sequestration and climate change mitigation (Hill et al., 2015, Krause-Jensen &amp; Duarte, 2016), recently sparked interest among Nordic environmental authorities, and served as a backdrop for an initiative from the Nordic Council of Ministers. The council sought to update and increase the knowledge base on Nordic marine macro-vegetation, to include</w:t>
      </w:r>
      <w:r>
        <w:t xml:space="preserve"> </w:t>
      </w:r>
      <w:r>
        <w:t xml:space="preserve">“</w:t>
      </w:r>
      <w:r>
        <w:t xml:space="preserve">blue forests</w:t>
      </w:r>
      <w:r>
        <w:t xml:space="preserve">”</w:t>
      </w:r>
      <w:r>
        <w:t xml:space="preserve"> </w:t>
      </w:r>
      <w:r>
        <w:t xml:space="preserve">in the Nordic carbon inventories. This initiative birthed The Nordic Blue Carbon Project, which aimed to create an updated overview of the role of kelp, eelgrass and rockweed in carbon cycles in the Nordic region, and address the knowledge gaps in long-term carbon storage of macro-vegetation in Nordic waters. A fundamental part of this project was therefore to establish species distribution models (SDMs) of the most important forest systems. Kelp forests are the most widespread among the blue forest nature types, and the main results were SDMs of two kelp forest systems on both the Nordic and Norwegian levels. The Nordic models were recently published (Kvile et al., 2022), and show the spatial distribution of sugar and tangle kelp forests (presence/absence) in the Nordic region with a 30 arcseconds resolution. The Norwegian data set includes accurately geo-referenced information on kelp density at a relatively high spatial resolution, and along with a high-resolution DEM-layer (25 m resolution), this level of detail facilitated a more detailed modelling approach specifically for the Norwegian coast. To analyze and predict the distribution of kelp based on a large number of potentially interacting environmental variables, we used boosted regression trees (BRT), a method that combines the advantages of machine learning and statistical regression techniques (Elith et al., 2008). The here presented models show the spatial variation in plant density within the two most important forest forming kelp species, namely</w:t>
      </w:r>
      <w:r>
        <w:t xml:space="preserve"> </w:t>
      </w:r>
      <w:r>
        <w:rPr>
          <w:iCs/>
          <w:i/>
        </w:rPr>
        <w:t xml:space="preserve">Saccharina latissima</w:t>
      </w:r>
      <w:r>
        <w:t xml:space="preserve"> </w:t>
      </w:r>
      <w:r>
        <w:t xml:space="preserve">(sugar kelp) and</w:t>
      </w:r>
      <w:r>
        <w:t xml:space="preserve"> </w:t>
      </w:r>
      <w:r>
        <w:rPr>
          <w:iCs/>
          <w:i/>
        </w:rPr>
        <w:t xml:space="preserve">Laminaria hyperborea</w:t>
      </w:r>
      <w:r>
        <w:t xml:space="preserve"> </w:t>
      </w:r>
      <w:r>
        <w:t xml:space="preserve">(tangle kelp), along the Norwegian mainland. The prediction maps cover the entire coastline of mainland Norway at a 25 m spatial resolution. These distribution maps are uniquely detailed and geographically wide-ranging, to a level that is to our knowledge unprecedented in marine species distribution modelling. (</w:t>
      </w:r>
      <w:r>
        <w:rPr>
          <w:iCs/>
          <w:i/>
        </w:rPr>
        <w:t xml:space="preserve">Tar vi i litt for mye da?</w:t>
      </w:r>
      <w:r>
        <w:t xml:space="preserve">)</w:t>
      </w:r>
    </w:p>
    <w:p>
      <w:pPr>
        <w:pStyle w:val="BodyText"/>
      </w:pPr>
      <w:r>
        <w:t xml:space="preserve">Based on a previously published model describing variation in tangle kelp wet weight along environmental gradients (Gundersen et al …), we were able to create a spatial layer with predictions of tangle kelp biomass in wet weight (kg m</w:t>
      </w:r>
      <w:r>
        <w:rPr>
          <w:vertAlign w:val="superscript"/>
        </w:rPr>
        <w:t xml:space="preserve">-2</w:t>
      </w:r>
      <w:r>
        <w:t xml:space="preserve">). Information on spatial distribution of biomass has wide-ranging uses, from spatial planning and management, resource management, and as input to carbon inventories.</w:t>
      </w:r>
    </w:p>
    <w:bookmarkEnd w:id="26"/>
    <w:bookmarkStart w:id="39" w:name="materials-and-methods"/>
    <w:p>
      <w:pPr>
        <w:pStyle w:val="Heading1"/>
      </w:pPr>
      <w:r>
        <w:rPr>
          <w:rStyle w:val="SectionNumber"/>
        </w:rPr>
        <w:t xml:space="preserve">5</w:t>
      </w:r>
      <w:r>
        <w:tab/>
      </w:r>
      <w:r>
        <w:t xml:space="preserve">MATERIALS AND METHODS</w:t>
      </w:r>
    </w:p>
    <w:bookmarkStart w:id="36" w:name="datasets"/>
    <w:p>
      <w:pPr>
        <w:pStyle w:val="Heading2"/>
      </w:pPr>
      <w:r>
        <w:rPr>
          <w:rStyle w:val="SectionNumber"/>
        </w:rPr>
        <w:t xml:space="preserve">5.1</w:t>
      </w:r>
      <w:r>
        <w:tab/>
      </w:r>
      <w:r>
        <w:t xml:space="preserve">Datasets</w:t>
      </w:r>
    </w:p>
    <w:bookmarkStart w:id="33" w:name="kelp-registrations"/>
    <w:p>
      <w:pPr>
        <w:pStyle w:val="Heading3"/>
      </w:pPr>
      <w:r>
        <w:rPr>
          <w:rStyle w:val="SectionNumber"/>
        </w:rPr>
        <w:t xml:space="preserve">5.1.1</w:t>
      </w:r>
      <w:r>
        <w:tab/>
      </w:r>
      <w:r>
        <w:t xml:space="preserve">Kelp registrations</w:t>
      </w:r>
    </w:p>
    <w:p>
      <w:pPr>
        <w:pStyle w:val="FirstParagraph"/>
      </w:pPr>
      <w:r>
        <w:t xml:space="preserve">The data were sampled mainly through the Norwegian Program for Mapping Biodiversity (Bekkby et al., 2013). The program was designed for tangle kelp primarily (n = 11 891 observations), but sugar kelp was also registered when found (n = 11 053). The data set is thus well suited for modelling tangle kelp, but less so in the case of sugar kelp. Data was registered using an underwater video camera with an approximate observation window of 5 square meters??? (</w:t>
      </w:r>
      <w:r>
        <w:rPr>
          <w:bCs/>
          <w:b/>
        </w:rPr>
        <w:t xml:space="preserve">Se kartleggingsprogram - artikkel ligger bak betalingsmur - Hege? :-D</w:t>
      </w:r>
      <w:r>
        <w:t xml:space="preserve">). Density categories are quantified as absence, single plants, scarce, moderately dense, and dense forest, representing density categories of 0, 0.1, 0.5, 5 and 10 individual kelp plants per m2 for tangle kelp and 0, 0.5, 1, 7 and 15 for sugar kelp (ref Bekkby?) (see</w:t>
      </w:r>
      <w:r>
        <w:t xml:space="preserve"> </w:t>
      </w:r>
      <w:r>
        <w:t xml:space="preserve">5.1</w:t>
      </w:r>
      <w:r>
        <w:t xml:space="preserve"> </w:t>
      </w:r>
      <w:r>
        <w:t xml:space="preserve">and</w:t>
      </w:r>
      <w:r>
        <w:t xml:space="preserve"> </w:t>
      </w:r>
      <w:r>
        <w:t xml:space="preserve">5.2</w:t>
      </w:r>
      <w:r>
        <w:t xml:space="preserve">).</w:t>
      </w:r>
    </w:p>
    <w:p>
      <w:pPr>
        <w:pStyle w:val="CaptionedFigure"/>
      </w:pPr>
      <w:r>
        <w:drawing>
          <wp:inline>
            <wp:extent cx="5334000" cy="5669280"/>
            <wp:effectExtent b="0" l="0" r="0" t="0"/>
            <wp:docPr descr="Figure 5.1: Observed densities of tangle kelp. Map created using leaflet package in R. Baselayer map provided by ESRI" title="" id="28" name="Picture"/>
            <a:graphic>
              <a:graphicData uri="http://schemas.openxmlformats.org/drawingml/2006/picture">
                <pic:pic>
                  <pic:nvPicPr>
                    <pic:cNvPr descr="../Figures/LamhypSampleMap_v2.png" id="29" name="Picture"/>
                    <pic:cNvPicPr>
                      <a:picLocks noChangeArrowheads="1" noChangeAspect="1"/>
                    </pic:cNvPicPr>
                  </pic:nvPicPr>
                  <pic:blipFill>
                    <a:blip r:embed="rId27"/>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Figure 5.1: Observed densities of tangle kelp. Map created using leaflet package in R. Baselayer map provided by ESRI</w:t>
      </w:r>
    </w:p>
    <w:p>
      <w:pPr>
        <w:pStyle w:val="CaptionedFigure"/>
      </w:pPr>
      <w:r>
        <w:drawing>
          <wp:inline>
            <wp:extent cx="5334000" cy="5669280"/>
            <wp:effectExtent b="0" l="0" r="0" t="0"/>
            <wp:docPr descr="Figure 5.2: Observed densities of sugar kelp. Map created using leaflet package in R. Baselayer map provided by ESRI" title="" id="31" name="Picture"/>
            <a:graphic>
              <a:graphicData uri="http://schemas.openxmlformats.org/drawingml/2006/picture">
                <pic:pic>
                  <pic:nvPicPr>
                    <pic:cNvPr descr="../Figures/SaclatSampleMap_v2.png" id="32" name="Picture"/>
                    <pic:cNvPicPr>
                      <a:picLocks noChangeArrowheads="1" noChangeAspect="1"/>
                    </pic:cNvPicPr>
                  </pic:nvPicPr>
                  <pic:blipFill>
                    <a:blip r:embed="rId30"/>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Figure 5.2: Observed densities of sugar kelp. Map created using leaflet package in R. Baselayer map provided by ESRI</w:t>
      </w:r>
    </w:p>
    <w:bookmarkEnd w:id="33"/>
    <w:bookmarkStart w:id="35" w:name="environmental-data-gis-models"/>
    <w:p>
      <w:pPr>
        <w:pStyle w:val="Heading3"/>
      </w:pPr>
      <w:r>
        <w:rPr>
          <w:rStyle w:val="SectionNumber"/>
        </w:rPr>
        <w:t xml:space="preserve">5.1.2</w:t>
      </w:r>
      <w:r>
        <w:tab/>
      </w:r>
      <w:r>
        <w:t xml:space="preserve">Environmental data / GIS models</w:t>
      </w:r>
    </w:p>
    <w:p>
      <w:pPr>
        <w:pStyle w:val="FirstParagraph"/>
      </w:pPr>
      <w:r>
        <w:t xml:space="preserve">In fitting the models for Norway, we used field-measured depth and a range of environmental variables extracted from both national and global spatial datasets.</w:t>
      </w:r>
    </w:p>
    <w:p>
      <w:pPr>
        <w:pStyle w:val="BodyText"/>
      </w:pPr>
      <w:r>
        <w:t xml:space="preserve">Wave exposure at sea surface was extracted from a model with a 25 m spatial resolution (Isæus, 2004) based on fetch, wind speed and wind frequency. Ocean current speed (m/s) was modeled at a horizontal resolution of 800 m (NorKyst-800; Albretsen et al., 2011) using the three-dimensional numerical ocean model ROMS (Shchepetkin &amp; McWilliams, 2005; Haidvogel et al., 2008) and downscaled to 25 m resolution. The 90th percentiles for seabed currents were used in our analyses. Due to the lack of a full cover, high resolution substrate model, which does not yet exist for Norway, slope (°) and terrain curvature (m) were derived from a bathymetry model with a 25 m horizontal resolution, provided by the Norwegian Hydrographic Service. Terrain curvature was estimated with a 250, 500 and 1 000 m spatial calculation window (Bekkby et al., 2009). Slope and curvature were included as proxies for substrate under the assumption that gentle slopes and depressions are areas of higher likelihood of sedimentation and thus not hard substrate. Light at the seabed (photosynthetically active radiation, PAR) has been modelled using data from ocean color satellite sensor estimates (Saulquin et al., 2013, Populus et al., 2017) at a resolution of 100 m, and was downscaled to a model with 25 m resolution. All predictor variables given above, including the 25 m bathymetry model, were available as full cover GIS layers and used for making predictive distribution maps for kelp. We also included variables from the global Bio-ORACLE datasets on nitrate and phosphate concentrations (µmol m</w:t>
      </w:r>
      <w:r>
        <w:rPr>
          <w:vertAlign w:val="superscript"/>
        </w:rPr>
        <w:t xml:space="preserve">-3</w:t>
      </w:r>
      <w:r>
        <w:t xml:space="preserve">), dissolved molecular oxygen (µmol m</w:t>
      </w:r>
      <w:r>
        <w:rPr>
          <w:vertAlign w:val="superscript"/>
        </w:rPr>
        <w:t xml:space="preserve">-3</w:t>
      </w:r>
      <w:r>
        <w:t xml:space="preserve">), temperature (°C) and salinity (PSS) at the seabed (mean, maximum and minimum depths within grid cells of 5 arcminutes resolution, which corresponds to approximately 9.2 km at the equator, see Tyberghein et al., 2012, Assis et al., 2018). Historic monthly data on seabed temperature and salinity at a grid resolution of 0.25° (converts to 15 arcminutes) was gathered from the Copernicus Marine Service, and annual min, mean and max values at each observation point was calculated and used in fitting the model, while full-coverage Bio-ORACLE layers based on long term min, mean and max values (2000 -2014) were used in the map predictions of the present state of the density distributions (see</w:t>
      </w:r>
      <w:r>
        <w:t xml:space="preserve"> </w:t>
      </w:r>
      <w:hyperlink r:id="rId34">
        <w:r>
          <w:rPr>
            <w:rStyle w:val="Hyperlink"/>
          </w:rPr>
          <w:t xml:space="preserve">http://www.bio-oracle.org</w:t>
        </w:r>
      </w:hyperlink>
      <w:r>
        <w:t xml:space="preserve">, Tyberghein et al., 2012, Assis et al., 2018).</w:t>
      </w:r>
    </w:p>
    <w:p>
      <w:pPr>
        <w:pStyle w:val="BodyText"/>
      </w:pPr>
      <w:r>
        <w:t xml:space="preserve">We coupled kelp observations to environmental data by extracting values from environmental raster layer cells in which the kelp observations were located. If a kelp observation was outside the cover of a raster layer, or data was missing in that specific cell, the environmental variable was set to missing (NA).</w:t>
      </w:r>
    </w:p>
    <w:bookmarkEnd w:id="35"/>
    <w:bookmarkEnd w:id="36"/>
    <w:bookmarkStart w:id="37" w:name="model-framework"/>
    <w:p>
      <w:pPr>
        <w:pStyle w:val="Heading2"/>
      </w:pPr>
      <w:r>
        <w:rPr>
          <w:rStyle w:val="SectionNumber"/>
        </w:rPr>
        <w:t xml:space="preserve">5.2</w:t>
      </w:r>
      <w:r>
        <w:tab/>
      </w:r>
      <w:r>
        <w:t xml:space="preserve">Model framework</w:t>
      </w:r>
    </w:p>
    <w:p>
      <w:pPr>
        <w:pStyle w:val="FirstParagraph"/>
      </w:pPr>
      <w:r>
        <w:t xml:space="preserve">To predict the spatial distribution of kelp, boosted regression tree (BRT) models were built using the gbm (Greenwell et al., 2022) and dismo (Hijmans et al., 2022) packages in R (R Core Team, 2022). When using this approach, many simple models (</w:t>
      </w:r>
      <w:r>
        <w:t xml:space="preserve">“</w:t>
      </w:r>
      <w:r>
        <w:t xml:space="preserve">trees</w:t>
      </w:r>
      <w:r>
        <w:t xml:space="preserve">”</w:t>
      </w:r>
      <w:r>
        <w:t xml:space="preserve">) are built and combined (</w:t>
      </w:r>
      <w:r>
        <w:t xml:space="preserve">“</w:t>
      </w:r>
      <w:r>
        <w:t xml:space="preserve">boosted</w:t>
      </w:r>
      <w:r>
        <w:t xml:space="preserve">”</w:t>
      </w:r>
      <w:r>
        <w:t xml:space="preserve">) for prediction (Elith et al., 2008). The BRT models have several advantages, for example, a large number of predictor variables of different types can be implemented without prior data transformation; potential complex interactions between variables are automatically handled; models are insensitive to outliers; and missing values are accommodated (Elith et al., 2008). Moreover, BRTs can handle sharp discontinuities, which is critical in cases such as ours, where the species’ distribution is small relative to the covered area.</w:t>
      </w:r>
    </w:p>
    <w:p>
      <w:pPr>
        <w:pStyle w:val="BodyText"/>
      </w:pPr>
      <w:r>
        <w:t xml:space="preserve">Boosted Regression Tree models were built for Laminaria and Saccharina separately, with kelp plant density as response variable. The response was transformed (log + 1), wich supported the assumption of a gaussian error distribution. We kept most model parameters to their defaults (Hijmans et al., 2022) but used an optimization routine based on cross-validated deviance to determine the optimal combination of three important parameters: learning rate (testing 0.0001, 0.001 and 0.01), tree complexity (testing 2, 4 and 6), and bag fraction (testing 0.5, 0.6 and 0.7) (Smith, 2023). Learning rate sets the weight given to each tree, and smaller learning rate is preferable but computationally costly as a higher number of trees is required. Tree complexity defines the complexity of interactions that can be fitted, if required by the data. Bag fraction is the fraction of the data used in selecting variables at each iteration (each tree), which makes the model stochastic and has been shown to improve predictive power (Elith et al., 2008). The optimal parameter combinations were learning rate 0.01, tree complexity 6 and bag fraction 0.6 (7700 trees) for Laminaria, and learning rate 0.01, tree complexity 6 and bag fraction 0.7 (7000 trees) for Saccharina. After identifying the optimal models with all explanatory variables included, we ran a simplification procedure to remove variables that contributed little to the two models predictive power using k-fold cross validation (Elith et al., 2008).</w:t>
      </w:r>
    </w:p>
    <w:bookmarkEnd w:id="37"/>
    <w:bookmarkStart w:id="38" w:name="final-model"/>
    <w:p>
      <w:pPr>
        <w:pStyle w:val="Heading2"/>
      </w:pPr>
      <w:r>
        <w:rPr>
          <w:rStyle w:val="SectionNumber"/>
        </w:rPr>
        <w:t xml:space="preserve">5.3</w:t>
      </w:r>
      <w:r>
        <w:tab/>
      </w:r>
      <w:r>
        <w:t xml:space="preserve">Final model</w:t>
      </w:r>
    </w:p>
    <w:p>
      <w:pPr>
        <w:pStyle w:val="FirstParagraph"/>
      </w:pPr>
      <w:r>
        <w:t xml:space="preserve">Based on the final BRT models with unimportant predictor variables removed, we predicted the density of kelp along the Norwegian coast using the</w:t>
      </w:r>
      <w:r>
        <w:t xml:space="preserve"> </w:t>
      </w:r>
      <w:r>
        <w:t xml:space="preserve">‘</w:t>
      </w:r>
      <w:r>
        <w:t xml:space="preserve">predict</w:t>
      </w:r>
      <w:r>
        <w:t xml:space="preserve">’</w:t>
      </w:r>
      <w:r>
        <w:t xml:space="preserve"> </w:t>
      </w:r>
      <w:r>
        <w:t xml:space="preserve">function in the raster package in R (Hijmans, 2022).</w:t>
      </w:r>
    </w:p>
    <w:p>
      <w:pPr>
        <w:pStyle w:val="BodyText"/>
      </w:pPr>
      <w:r>
        <w:t xml:space="preserve">We created a uniform raster object of all environmental predictor variables included in the models, resampling all GIS-layers to a 25 m resolution covering the whole model area (the Norwegian coast), cropped to areas of water depths down to 40 m. While measured depth from the kelp registration was used in the model fitting, we used the full cover bathymetric data (m) for the predictions. And while historic temperature data was used in the fitting process, a static representation of present day annual mean and maximum temperaturewas used for the spatial predictions. Predictions from BRT models are given for all cells regardless of the presence of missing values for some variables, and missing values are set to the overall mean value for that variable.</w:t>
      </w:r>
    </w:p>
    <w:p>
      <w:pPr>
        <w:pStyle w:val="BodyText"/>
      </w:pPr>
      <w:r>
        <w:t xml:space="preserve">The final models shows the predicted density in number of plants per square meter, in each grid cell of 25 x 25 m. Based on a previously published model describing variation in tangle kelp wet weight along environmental gradients (Gundersen et al. 2021), we were able to create a spatial layer with predicted wet weight per plant within the same grid. Multiplying these layers and scaling for area covered by a cell (multiplying by a factor of 625), gives the spatial predictions of tangle kelp biomass in wet weight (kg m</w:t>
      </w:r>
      <w:r>
        <w:rPr>
          <w:vertAlign w:val="superscript"/>
        </w:rPr>
        <w:t xml:space="preserve">-2</w:t>
      </w:r>
      <w:r>
        <w:t xml:space="preserve">). While forest areas have by far the most important role as habitat providers, the vast areas with lower densities of kelp comprise more kelp biomass in total. This is particularly important to keep in mind when estimating standing stocks of kelp, for instance in considering kelp as potential marine carbon sinks.</w:t>
      </w:r>
      <w:r>
        <w:t xml:space="preserve"> </w:t>
      </w:r>
      <w:r>
        <w:rPr>
          <w:iCs/>
          <w:i/>
        </w:rPr>
        <w:t xml:space="preserve">(?? - what’s the correct term here… ??)</w:t>
      </w:r>
    </w:p>
    <w:bookmarkEnd w:id="38"/>
    <w:bookmarkEnd w:id="39"/>
    <w:bookmarkStart w:id="51" w:name="results"/>
    <w:p>
      <w:pPr>
        <w:pStyle w:val="Heading1"/>
      </w:pPr>
      <w:r>
        <w:rPr>
          <w:rStyle w:val="SectionNumber"/>
        </w:rPr>
        <w:t xml:space="preserve">6</w:t>
      </w:r>
      <w:r>
        <w:tab/>
      </w:r>
      <w:r>
        <w:t xml:space="preserve">Results</w:t>
      </w:r>
    </w:p>
    <w:bookmarkStart w:id="46" w:name="predicted-kelp-distribution"/>
    <w:p>
      <w:pPr>
        <w:pStyle w:val="Heading2"/>
      </w:pPr>
      <w:r>
        <w:rPr>
          <w:rStyle w:val="SectionNumber"/>
        </w:rPr>
        <w:t xml:space="preserve">6.1</w:t>
      </w:r>
      <w:r>
        <w:tab/>
      </w:r>
      <w:r>
        <w:t xml:space="preserve">Predicted Kelp Distribution</w:t>
      </w:r>
    </w:p>
    <w:p>
      <w:pPr>
        <w:pStyle w:val="FirstParagraph"/>
      </w:pPr>
      <w:r>
        <w:t xml:space="preserve">Tangle kelp presence is predicted along almost the entire coastline of Norway (Figure</w:t>
      </w:r>
      <w:r>
        <w:t xml:space="preserve"> </w:t>
      </w:r>
      <w:r>
        <w:t xml:space="preserve">6.1</w:t>
      </w:r>
      <w:r>
        <w:t xml:space="preserve">), with the highest densities and largest continuous areas in Mid-Norway. Areas with plant densities above 4 individuals m</w:t>
      </w:r>
      <w:r>
        <w:rPr>
          <w:vertAlign w:val="superscript"/>
        </w:rPr>
        <w:t xml:space="preserve">-2</w:t>
      </w:r>
      <w:r>
        <w:t xml:space="preserve"> </w:t>
      </w:r>
      <w:r>
        <w:t xml:space="preserve">are considered kelp forests, and were predicted to cover an area of 2622 km</w:t>
      </w:r>
      <w:r>
        <w:rPr>
          <w:vertAlign w:val="superscript"/>
        </w:rPr>
        <w:t xml:space="preserve">-2</w:t>
      </w:r>
      <w:r>
        <w:t xml:space="preserve"> </w:t>
      </w:r>
      <w:r>
        <w:t xml:space="preserve">(Table</w:t>
      </w:r>
      <w:r>
        <w:t xml:space="preserve"> </w:t>
      </w:r>
      <w:r>
        <w:t xml:space="preserve">6.1</w:t>
      </w:r>
      <w:r>
        <w:t xml:space="preserve">). There are also large areas (10058 km</w:t>
      </w:r>
      <w:r>
        <w:rPr>
          <w:vertAlign w:val="superscript"/>
        </w:rPr>
        <w:t xml:space="preserve">-2</w:t>
      </w:r>
      <w:r>
        <w:t xml:space="preserve">) with predicted tangle kelp presence, where densities falls below this</w:t>
      </w:r>
      <w:r>
        <w:t xml:space="preserve"> </w:t>
      </w:r>
      <w:r>
        <w:t xml:space="preserve">“</w:t>
      </w:r>
      <w:r>
        <w:t xml:space="preserve">threshold</w:t>
      </w:r>
      <w:r>
        <w:t xml:space="preserve">”</w:t>
      </w:r>
      <w:r>
        <w:t xml:space="preserve"> </w:t>
      </w:r>
      <w:r>
        <w:t xml:space="preserve">(i.e. with densities of 1-4 plants m</w:t>
      </w:r>
      <w:r>
        <w:rPr>
          <w:vertAlign w:val="superscript"/>
        </w:rPr>
        <w:t xml:space="preserve">-2</w:t>
      </w:r>
      <w:r>
        <w:t xml:space="preserve">).</w:t>
      </w:r>
      <w:r>
        <w:t xml:space="preserve"> </w:t>
      </w:r>
      <w:r>
        <w:t xml:space="preserve"> </w:t>
      </w:r>
    </w:p>
    <w:p>
      <w:pPr>
        <w:pStyle w:val="CaptionedFigure"/>
      </w:pPr>
      <w:r>
        <w:drawing>
          <wp:inline>
            <wp:extent cx="5334000" cy="5669280"/>
            <wp:effectExtent b="0" l="0" r="0" t="0"/>
            <wp:docPr descr="Figure 6.1: Predictions of tangle kelp densities along the Norwegian coastline based on the final tangle kelp BRT-model. Map created using leaflet package in R. Baselayer map provided by ESRI" title="" id="41" name="Picture"/>
            <a:graphic>
              <a:graphicData uri="http://schemas.openxmlformats.org/drawingml/2006/picture">
                <pic:pic>
                  <pic:nvPicPr>
                    <pic:cNvPr descr="../Figures/LamhypBRTMap.png" id="42" name="Picture"/>
                    <pic:cNvPicPr>
                      <a:picLocks noChangeArrowheads="1" noChangeAspect="1"/>
                    </pic:cNvPicPr>
                  </pic:nvPicPr>
                  <pic:blipFill>
                    <a:blip r:embed="rId40"/>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Figure 6.1: Predictions of tangle kelp densities along the Norwegian coastline based on the final tangle kelp BRT-model. Map created using leaflet package in R. Baselayer map provided by ESRI</w:t>
      </w:r>
    </w:p>
    <w:p>
      <w:pPr>
        <w:pStyle w:val="BodyText"/>
      </w:pPr>
      <w:r>
        <w:t xml:space="preserve">Sugar kelp presence is predominantly predicted along the southern coast of Norway (Figure</w:t>
      </w:r>
      <w:r>
        <w:t xml:space="preserve"> </w:t>
      </w:r>
      <w:r>
        <w:t xml:space="preserve">6.2</w:t>
      </w:r>
      <w:r>
        <w:t xml:space="preserve">), with the highest densities in South-West Norway. Forests were defined as areas covered by densities greater than 6 plants m</w:t>
      </w:r>
      <w:r>
        <w:rPr>
          <w:vertAlign w:val="superscript"/>
        </w:rPr>
        <w:t xml:space="preserve">-2</w:t>
      </w:r>
      <w:r>
        <w:t xml:space="preserve">, which was predicted to cover 3 km</w:t>
      </w:r>
      <w:r>
        <w:rPr>
          <w:vertAlign w:val="superscript"/>
        </w:rPr>
        <w:t xml:space="preserve">2</w:t>
      </w:r>
      <w:r>
        <w:t xml:space="preserve"> </w:t>
      </w:r>
      <w:r>
        <w:t xml:space="preserve">in total. Lower density occurrences (1-6 plants</w:t>
      </w:r>
      <w:r>
        <w:t xml:space="preserve"> </w:t>
      </w:r>
      <w:r>
        <w:rPr>
          <w:vertAlign w:val="superscript"/>
        </w:rPr>
        <w:t xml:space="preserve">m-2</w:t>
      </w:r>
      <w:r>
        <w:t xml:space="preserve">) were predicted to cover a total of 6138 km</w:t>
      </w:r>
      <w:r>
        <w:rPr>
          <w:vertAlign w:val="superscript"/>
        </w:rPr>
        <w:t xml:space="preserve">2</w:t>
      </w:r>
      <w:r>
        <w:t xml:space="preserve">.</w:t>
      </w:r>
    </w:p>
    <w:p>
      <w:pPr>
        <w:pStyle w:val="CaptionedFigure"/>
      </w:pPr>
      <w:r>
        <w:drawing>
          <wp:inline>
            <wp:extent cx="5334000" cy="5669280"/>
            <wp:effectExtent b="0" l="0" r="0" t="0"/>
            <wp:docPr descr="Figure 6.2: Predictions of sugar kelp densities along the Norwegian coastline based on the final sugar kelp BRT-model. Map created using leaflet package in R. Baselayer map provided by ESRI" title="" id="44" name="Picture"/>
            <a:graphic>
              <a:graphicData uri="http://schemas.openxmlformats.org/drawingml/2006/picture">
                <pic:pic>
                  <pic:nvPicPr>
                    <pic:cNvPr descr="../Figures/SaclatBRTMap.png" id="45" name="Picture"/>
                    <pic:cNvPicPr>
                      <a:picLocks noChangeArrowheads="1" noChangeAspect="1"/>
                    </pic:cNvPicPr>
                  </pic:nvPicPr>
                  <pic:blipFill>
                    <a:blip r:embed="rId43"/>
                    <a:stretch>
                      <a:fillRect/>
                    </a:stretch>
                  </pic:blipFill>
                  <pic:spPr bwMode="auto">
                    <a:xfrm>
                      <a:off x="0" y="0"/>
                      <a:ext cx="5334000" cy="5669280"/>
                    </a:xfrm>
                    <a:prstGeom prst="rect">
                      <a:avLst/>
                    </a:prstGeom>
                    <a:noFill/>
                    <a:ln w="9525">
                      <a:noFill/>
                      <a:headEnd/>
                      <a:tailEnd/>
                    </a:ln>
                  </pic:spPr>
                </pic:pic>
              </a:graphicData>
            </a:graphic>
          </wp:inline>
        </w:drawing>
      </w:r>
    </w:p>
    <w:p>
      <w:pPr>
        <w:pStyle w:val="ImageCaption"/>
      </w:pPr>
      <w:r>
        <w:t xml:space="preserve">Figure 6.2: Predictions of sugar kelp densities along the Norwegian coastline based on the final sugar kelp BRT-model. Map created using leaflet package in R. Baselayer map provided by ESRI</w:t>
      </w:r>
    </w:p>
    <w:p>
      <w:pPr>
        <w:pStyle w:val="SourceCode"/>
      </w:pPr>
      <w:r>
        <w:rPr>
          <w:rStyle w:val="VerbatimChar"/>
        </w:rPr>
        <w:t xml:space="preserve">## Joining, by = c("Kelp", "densities", "Area_km")</w:t>
      </w:r>
    </w:p>
    <w:p>
      <w:pPr>
        <w:pStyle w:val="FirstParagraph"/>
      </w:pPr>
      <w:r>
        <w:t xml:space="preserve">Table 6.1:</w:t>
      </w:r>
      <w:r>
        <w:t xml:space="preserve"> </w:t>
      </w:r>
      <w:r>
        <w:t xml:space="preserve">Summary of predicted areal cover of tangle and sugar kelp along the Norwegian mainland, and estimated total wet weight of tangle kelp based on the work of Gundersen et al.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8"/>
        <w:gridCol w:w="1300"/>
        <w:gridCol w:w="1122"/>
        <w:gridCol w:w="1044"/>
      </w:tblGrid>
      <w:tr>
        <w:trPr>
          <w:trHeight w:val="593" w:hRule="auto"/>
          <w:tblHeader/>
        </w:trPr>
        header1
        <w:tc>
          <w:tcPr>
            <w:vMerge w:val="restart"/>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Kelp</w:t>
            </w:r>
          </w:p>
        </w:tc>
        <w:tc>
          <w:tcPr>
            <w:vMerge w:val="restart"/>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Densities</w:t>
            </w:r>
          </w:p>
        </w:tc>
        <w:tc>
          <w:tcPr>
            <w:gridSpan w:val="2"/>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Area</w:t>
            </w:r>
          </w:p>
        </w:tc>
      </w:tr>
      <w:tr>
        <w:trPr>
          <w:trHeight w:val="595" w:hRule="auto"/>
          <w:tblHeader/>
        </w:trPr>
        header2
        <w:tc>
          <w:tcPr>
            <w:vMerge/>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p>
        </w:tc>
        <w:tc>
          <w:tcPr>
            <w:vMerge/>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p>
        </w:tc>
        <w:tc>
          <w:tcPr>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km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vertAlign w:val="superscript"/>
                <w:sz w:val="20"/>
                <w:szCs w:val="20"/>
                <w:color w:val="000000"/>
              </w:rPr>
              <w:t xml:space="preserve">2</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mill Mg</w:t>
            </w:r>
          </w:p>
        </w:tc>
      </w:tr>
      <w:tr>
        <w:trPr>
          <w:trHeight w:val="559" w:hRule="auto"/>
        </w:trPr>
        body1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Tangle kelp</w:t>
            </w:r>
          </w:p>
        </w:tc>
        <w:tc>
          <w:tcPr>
            <w:tcBorders>
              <w:bottom w:val="none" w:sz="0" w:space="0" w:color="000000"/>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1 - 4</w:t>
            </w:r>
          </w:p>
        </w:tc>
        <w:tc>
          <w:tcPr>
            <w:tcBorders>
              <w:bottom w:val="none" w:sz="0" w:space="0" w:color="000000"/>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10 058</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12</w:t>
            </w:r>
          </w:p>
        </w:tc>
      </w:tr>
      <w:tr>
        <w:trPr>
          <w:trHeight w:val="559" w:hRule="auto"/>
        </w:trPr>
        body2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Tangle kelp</w:t>
            </w:r>
          </w:p>
        </w:tc>
        <w:tc>
          <w:tcPr>
            <w:tcBorders>
              <w:bottom w:val="single" w:sz="8"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&gt; 4</w:t>
            </w:r>
          </w:p>
        </w:tc>
        <w:tc>
          <w:tcPr>
            <w:tcBorders>
              <w:bottom w:val="single" w:sz="8"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2 622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25</w:t>
            </w:r>
          </w:p>
        </w:tc>
      </w:tr>
      <w:tr>
        <w:trPr>
          <w:trHeight w:val="561" w:hRule="auto"/>
        </w:trPr>
        body3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Sugar kelp</w:t>
            </w:r>
          </w:p>
        </w:tc>
        <w:tc>
          <w:tcPr>
            <w:tcBorders>
              <w:bottom w:val="none" w:sz="0" w:space="0" w:color="000000"/>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1 - 6</w:t>
            </w:r>
          </w:p>
        </w:tc>
        <w:tc>
          <w:tcPr>
            <w:tcBorders>
              <w:bottom w:val="none" w:sz="0" w:space="0" w:color="000000"/>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6 138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561" w:hRule="auto"/>
        </w:trPr>
        body4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Sugar kelp</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&gt; 6</w:t>
            </w:r>
          </w:p>
        </w:tc>
        <w:tc>
          <w:tcPr>
            <w:tcBorders>
              <w:bottom w:val="single" w:sz="16"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bookmarkEnd w:id="46"/>
    <w:bookmarkStart w:id="50" w:name="X7a2241768a75bbe8f4c18bc085b6a1e83db7638"/>
    <w:p>
      <w:pPr>
        <w:pStyle w:val="Heading2"/>
      </w:pPr>
      <w:r>
        <w:rPr>
          <w:rStyle w:val="SectionNumber"/>
        </w:rPr>
        <w:t xml:space="preserve">6.2</w:t>
      </w:r>
      <w:r>
        <w:tab/>
      </w:r>
      <w:r>
        <w:t xml:space="preserve">Associations with Environmental Variables</w:t>
      </w:r>
    </w:p>
    <w:p>
      <w:pPr>
        <w:pStyle w:val="FirstParagraph"/>
      </w:pPr>
      <w:r>
        <w:t xml:space="preserve">The tangle kelp model performed reasonably well, with a total deviance explained close to 75% (a measure of variation in the data explained by the model) and correlation values between data and model predictions at 0.87 (based on training data) and 0.79 (based on cross-validation, CV). The sugar kelp model performed less well. Although the total deviance explained was approximately the same, the correlation values were lower, at 0.84 and 0.66 for training data and CV, respectively. The larger gap in correlation values between data and model predictions when comparing training data and CV, means that there is an increased risk of prediction errors. Hence, our confidence in model predictions is stronger with the tangle kelp than the sugar kelp model, particularly if the models are used for geographic extrapolation (or future projections).</w:t>
      </w:r>
    </w:p>
    <w:p>
      <w:pPr>
        <w:pStyle w:val="BodyText"/>
      </w:pPr>
      <w:r>
        <w:t xml:space="preserve">Ten explanatory variables were kept in the final BRT model for tangle kelp, with the most important being depth, wave exposure, nitrate concentration and curvature of the sea bottom (see Figure</w:t>
      </w:r>
      <w:r>
        <w:t xml:space="preserve"> </w:t>
      </w:r>
      <w:r>
        <w:t xml:space="preserve">6.3</w:t>
      </w:r>
      <w:r>
        <w:t xml:space="preserve">). The results place the optimum of tangle kelp in an environmental space where depth is shallower than 30 m, exposure to wave action is considerable, the nitrate and phosphate concentrations are relatively low (</w:t>
      </w:r>
      <w:r>
        <w:rPr>
          <w:bCs/>
          <w:b/>
        </w:rPr>
        <w:t xml:space="preserve">be more specific with regards to units and season/mean/…</w:t>
      </w:r>
      <w:r>
        <w:t xml:space="preserve">), the terrain is hilly, preferably convex (within a 500 m</w:t>
      </w:r>
      <w:r>
        <w:rPr>
          <w:vertAlign w:val="superscript"/>
        </w:rPr>
        <w:t xml:space="preserve">2</w:t>
      </w:r>
      <w:r>
        <w:t xml:space="preserve"> </w:t>
      </w:r>
      <w:r>
        <w:t xml:space="preserve">window). In addition, predicted densities will generally be higher in …</w:t>
      </w:r>
      <w:r>
        <w:t xml:space="preserve"> </w:t>
      </w:r>
      <w:r>
        <w:rPr>
          <w:bCs/>
          <w:b/>
        </w:rPr>
        <w:t xml:space="preserve">how do we interpret the oxygen levels? (plot these in a map to see)</w:t>
      </w:r>
      <w:r>
        <w:t xml:space="preserve">, the annual mean temperature is above 8°C and the annual maximum temperature is below 15°C,</w:t>
      </w:r>
      <w:r>
        <w:t xml:space="preserve"> </w:t>
      </w:r>
      <w:r>
        <w:rPr>
          <w:bCs/>
          <w:b/>
        </w:rPr>
        <w:t xml:space="preserve">don’t understand the relationship with current</w:t>
      </w:r>
      <w:r>
        <w:t xml:space="preserve"> </w:t>
      </w:r>
      <w:r>
        <w:t xml:space="preserve">and the maximum salinity above 34 psu. The environmental ranges in which tangle kelp presence was recorded is shown in Table</w:t>
      </w:r>
      <w:r>
        <w:t xml:space="preserve"> </w:t>
      </w:r>
      <w:r>
        <w:t xml:space="preserve">6.2</w:t>
      </w:r>
      <w:r>
        <w:t xml:space="preserve">.</w:t>
      </w:r>
    </w:p>
    <w:p>
      <w:pPr>
        <w:pStyle w:val="BodyText"/>
      </w:pPr>
      <w:r>
        <w:t xml:space="preserve">In the final BRT model for sugar kelp eleven variables were kept, with the most important being depth, wave exposure, mean temperature, and dissolved oxygen (see Figure</w:t>
      </w:r>
      <w:r>
        <w:t xml:space="preserve"> </w:t>
      </w:r>
      <w:r>
        <w:t xml:space="preserve">6.3</w:t>
      </w:r>
      <w:r>
        <w:t xml:space="preserve">). In comparison with tangle kelp, the vertical distribution of sugar kelp seems narrower with a clear limiting driver acting in the shallow areas. The optimum is shifted more towards the sheltered parts of the environmental space, but with seemingly similar requirements with regards to annual mean temperature (above 8°C) and nutrients, and a similar preference for hilly terrain (convex terrain with slope 40-55&amp;deg). Along the gradient of dissolved oxygen, however, the density optimas varies considerably and are almost opposite (</w:t>
      </w:r>
      <w:r>
        <w:rPr>
          <w:bCs/>
          <w:b/>
        </w:rPr>
        <w:t xml:space="preserve">and is not easy to interpret?? what does this mean?? effect of competition?</w:t>
      </w:r>
      <w:r>
        <w:t xml:space="preserve">). A similar pattern of opposite relationships can perhaps be discerned along a gradient of maximum salinity (dip around 35 psu). A notable difference is also the suggested optimum of higher annual maximum temperatures (15-20°C). The environmental ranges in which sugar kelp presence was recorded is also shown in Table</w:t>
      </w:r>
      <w:r>
        <w:t xml:space="preserve"> </w:t>
      </w:r>
      <w:r>
        <w:t xml:space="preserve">6.2</w:t>
      </w:r>
      <w:r>
        <w:t xml:space="preserve">.</w:t>
      </w:r>
    </w:p>
    <w:p>
      <w:pPr>
        <w:pStyle w:val="BodyText"/>
      </w:pPr>
      <w:r>
        <w:t xml:space="preserve">Table 6.2:</w:t>
      </w:r>
      <w:r>
        <w:t xml:space="preserve"> </w:t>
      </w:r>
      <w:r>
        <w:t xml:space="preserve">Summary of variable ranges in which tangle and sugar kelp presence has been recorded in the Norwegian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6"/>
        <w:gridCol w:w="900"/>
        <w:gridCol w:w="911"/>
        <w:gridCol w:w="1033"/>
        <w:gridCol w:w="900"/>
        <w:gridCol w:w="911"/>
        <w:gridCol w:w="1033"/>
      </w:tblGrid>
      <w:tr>
        <w:trPr>
          <w:trHeight w:val="598" w:hRule="auto"/>
          <w:tblHeader/>
        </w:trPr>
        header 1
        <w:tc>
          <w:tcPr>
            <w:vMerge w:val="restart"/>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Variable</w:t>
            </w:r>
          </w:p>
        </w:tc>
        <w:tc>
          <w:tcPr>
            <w:gridSpan w:val="3"/>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Tangle kelp</w:t>
            </w:r>
          </w:p>
        </w:tc>
        <w:tc>
          <w:tcPr>
            <w:gridSpan w:val="3"/>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Sugar kelp</w:t>
            </w:r>
          </w:p>
        </w:tc>
      </w:tr>
      <w:tr>
        <w:trPr>
          <w:trHeight w:val="554" w:hRule="auto"/>
          <w:tblHeader/>
        </w:trPr>
        header 2
        <w:tc>
          <w:tcPr>
            <w:vMerge/>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p>
        </w:tc>
        <w:tc>
          <w:tcPr>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min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mean</w:t>
            </w:r>
          </w:p>
        </w:tc>
        <w:tc>
          <w:tcPr>
            <w:tcBorders>
              <w:bottom w:val="single" w:sz="16" w:space="0" w:color="666666"/>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max</w:t>
            </w:r>
          </w:p>
        </w:tc>
        <w:tc>
          <w:tcPr>
            <w:tcBorders>
              <w:bottom w:val="single" w:sz="16" w:space="0" w:color="666666"/>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min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mean</w:t>
            </w:r>
          </w:p>
        </w:tc>
        <w:tc>
          <w:tcPr>
            <w:tcBorders>
              <w:bottom w:val="single" w:sz="16" w:space="0" w:color="666666"/>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max</w:t>
            </w:r>
          </w:p>
        </w:tc>
      </w:tr>
      <w:tr>
        <w:trPr>
          <w:trHeight w:val="529" w:hRule="auto"/>
        </w:trPr>
        body 1
        <w:tc>
          <w:tcPr>
            <w:tcBorders>
              <w:bottom w:val="none" w:sz="0" w:space="0" w:color="000000"/>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Current</w:t>
            </w:r>
          </w:p>
        </w:tc>
        <w:tc>
          <w:tcPr>
            <w:tcBorders>
              <w:bottom w:val="none" w:sz="0" w:space="0" w:color="000000"/>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0.15</w:t>
            </w:r>
          </w:p>
        </w:tc>
        <w:tc>
          <w:tcPr>
            <w:tcBorders>
              <w:bottom w:val="none" w:sz="0" w:space="0" w:color="000000"/>
              <w:top w:val="single" w:sz="16"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1.19</w:t>
            </w:r>
          </w:p>
        </w:tc>
        <w:tc>
          <w:tcPr>
            <w:tcBorders>
              <w:bottom w:val="none" w:sz="0" w:space="0" w:color="000000"/>
              <w:top w:val="single" w:sz="16"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0.15</w:t>
            </w:r>
          </w:p>
        </w:tc>
        <w:tc>
          <w:tcPr>
            <w:tcBorders>
              <w:bottom w:val="none" w:sz="0" w:space="0" w:color="000000"/>
              <w:top w:val="single" w:sz="1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w:t>
            </w:r>
          </w:p>
        </w:tc>
      </w:tr>
      <w:tr>
        <w:trPr>
          <w:trHeight w:val="529" w:hRule="auto"/>
        </w:trPr>
        body 2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Curvature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9.27</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124.42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177.58</w:t>
            </w:r>
          </w:p>
        </w:tc>
      </w:tr>
      <w:tr>
        <w:trPr>
          <w:trHeight w:val="557" w:hRule="auto"/>
        </w:trPr>
        body 3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Depth</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-10.04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3.00</w:t>
            </w:r>
          </w:p>
        </w:tc>
      </w:tr>
      <w:tr>
        <w:trPr>
          <w:trHeight w:val="557" w:hRule="auto"/>
        </w:trPr>
        body 4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Max temp.</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19.12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20.91</w:t>
            </w:r>
          </w:p>
        </w:tc>
      </w:tr>
      <w:tr>
        <w:trPr>
          <w:trHeight w:val="557" w:hRule="auto"/>
        </w:trPr>
        body 5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Mean temp.</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8.29</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10.51</w:t>
            </w:r>
          </w:p>
        </w:tc>
      </w:tr>
      <w:tr>
        <w:trPr>
          <w:trHeight w:val="528" w:hRule="auto"/>
        </w:trPr>
        body 6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Nitrate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1.43</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8.30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w:t>
            </w:r>
          </w:p>
        </w:tc>
      </w:tr>
      <w:tr>
        <w:trPr>
          <w:trHeight w:val="561" w:hRule="auto"/>
        </w:trPr>
        body 7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Oxygen</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268.22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292.30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307.38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292.37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305.47</w:t>
            </w:r>
          </w:p>
        </w:tc>
      </w:tr>
      <w:tr>
        <w:trPr>
          <w:trHeight w:val="557" w:hRule="auto"/>
        </w:trPr>
        body 8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Phosphate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0.29</w:t>
            </w:r>
          </w:p>
        </w:tc>
      </w:tr>
      <w:tr>
        <w:trPr>
          <w:trHeight w:val="561" w:hRule="auto"/>
        </w:trPr>
        body 9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Salinity</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35.34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35.04</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35.33</w:t>
            </w:r>
          </w:p>
        </w:tc>
      </w:tr>
      <w:tr>
        <w:trPr>
          <w:trHeight w:val="559" w:hRule="auto"/>
        </w:trPr>
        body10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10.63</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74.40</w:t>
            </w:r>
          </w:p>
        </w:tc>
      </w:tr>
      <w:tr>
        <w:trPr>
          <w:trHeight w:val="548" w:hRule="auto"/>
        </w:trPr>
        body11
        <w:tc>
          <w:tcPr>
            <w:tcBorders>
              <w:bottom w:val="single" w:sz="16"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kSWM</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605.87</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1,952.65</w:t>
            </w:r>
          </w:p>
        </w:tc>
        <w:tc>
          <w:tcPr>
            <w:tcBorders>
              <w:bottom w:val="single" w:sz="1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w:t>
            </w:r>
          </w:p>
        </w:tc>
        <w:tc>
          <w:tcPr>
            <w:tcBorders>
              <w:bottom w:val="single" w:sz="16" w:space="0" w:color="666666"/>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195.22</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firstLine="0" w:left="100" w:right="10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1,388.70</w:t>
            </w:r>
          </w:p>
        </w:tc>
      </w:tr>
    </w:tbl>
    <w:p>
      <w:pPr>
        <w:pStyle w:val="BodyText"/>
      </w:pPr>
      <w:r>
        <w:rPr>
          <w:iCs/>
          <w:i/>
        </w:rPr>
        <w:t xml:space="preserve">Perhaps add interaction plots?</w:t>
      </w:r>
      <w:r>
        <w:t xml:space="preserve"> </w:t>
      </w:r>
    </w:p>
    <w:p>
      <w:pPr>
        <w:pStyle w:val="CaptionedFigure"/>
      </w:pPr>
      <w:r>
        <w:drawing>
          <wp:inline>
            <wp:extent cx="5334000" cy="3849278"/>
            <wp:effectExtent b="0" l="0" r="0" t="0"/>
            <wp:docPr descr="Figure 6.3: Partial relationships between densities of tangle kelp (Laminaria hyperborea) and sugar kelp (Saccharina latissima) plants and the environmental variables kept in the final models, sorted according to degree of influence. The plots show the effect of a variable after accounting for the average effects of all other variables in the model. Coloured lines show the marginal effect of the variable and solid thick black lines give a smooth representation of the response. Numbers in brackets provide the relative contribution of the given variable. The coloured rug on the x-axis shows the location of training data." title="" id="48" name="Picture"/>
            <a:graphic>
              <a:graphicData uri="http://schemas.openxmlformats.org/drawingml/2006/picture">
                <pic:pic>
                  <pic:nvPicPr>
                    <pic:cNvPr descr="../Figures/MarginalEffectsStudioSave.png" id="49" name="Picture"/>
                    <pic:cNvPicPr>
                      <a:picLocks noChangeArrowheads="1" noChangeAspect="1"/>
                    </pic:cNvPicPr>
                  </pic:nvPicPr>
                  <pic:blipFill>
                    <a:blip r:embed="rId47"/>
                    <a:stretch>
                      <a:fillRect/>
                    </a:stretch>
                  </pic:blipFill>
                  <pic:spPr bwMode="auto">
                    <a:xfrm>
                      <a:off x="0" y="0"/>
                      <a:ext cx="5334000" cy="3849278"/>
                    </a:xfrm>
                    <a:prstGeom prst="rect">
                      <a:avLst/>
                    </a:prstGeom>
                    <a:noFill/>
                    <a:ln w="9525">
                      <a:noFill/>
                      <a:headEnd/>
                      <a:tailEnd/>
                    </a:ln>
                  </pic:spPr>
                </pic:pic>
              </a:graphicData>
            </a:graphic>
          </wp:inline>
        </w:drawing>
      </w:r>
    </w:p>
    <w:p>
      <w:pPr>
        <w:pStyle w:val="ImageCaption"/>
      </w:pPr>
      <w:r>
        <w:t xml:space="preserve">Figure 6.3: Partial relationships between densities of tangle kelp (</w:t>
      </w:r>
      <w:r>
        <w:rPr>
          <w:iCs/>
          <w:i/>
        </w:rPr>
        <w:t xml:space="preserve">Laminaria hyperborea</w:t>
      </w:r>
      <w:r>
        <w:t xml:space="preserve">) and sugar kelp (</w:t>
      </w:r>
      <w:r>
        <w:rPr>
          <w:iCs/>
          <w:i/>
        </w:rPr>
        <w:t xml:space="preserve">Saccharina latissima</w:t>
      </w:r>
      <w:r>
        <w:t xml:space="preserve">) plants and the environmental variables kept in the final models, sorted according to degree of influence. The plots show the effect of a variable after accounting for the average effects of all other variables in the model. Coloured lines show the marginal effect of the variable and solid thick black lines give a smooth representation of the response. Numbers in brackets provide the relative contribution of the given variable. The coloured rug on the x-axis shows the location of training data.</w:t>
      </w:r>
    </w:p>
    <w:bookmarkEnd w:id="50"/>
    <w:bookmarkEnd w:id="51"/>
    <w:bookmarkStart w:id="52" w:name="discussion"/>
    <w:p>
      <w:pPr>
        <w:pStyle w:val="Heading1"/>
      </w:pPr>
      <w:r>
        <w:rPr>
          <w:rStyle w:val="SectionNumber"/>
        </w:rPr>
        <w:t xml:space="preserve">7</w:t>
      </w:r>
      <w:r>
        <w:tab/>
      </w:r>
      <w:r>
        <w:t xml:space="preserve">Discussion</w:t>
      </w:r>
    </w:p>
    <w:p>
      <w:pPr>
        <w:pStyle w:val="FirstParagraph"/>
      </w:pPr>
      <w:r>
        <w:rPr>
          <w:bCs/>
          <w:b/>
        </w:rPr>
        <w:t xml:space="preserve">Skryt her:</w:t>
      </w:r>
      <w:r>
        <w:t xml:space="preserve"> </w:t>
      </w:r>
      <w:r>
        <w:t xml:space="preserve">We here present uniquely detailed distribution maps of the two most important forest forming kelp species in Norway, namely sugar kelp (</w:t>
      </w:r>
      <w:r>
        <w:rPr>
          <w:iCs/>
          <w:i/>
        </w:rPr>
        <w:t xml:space="preserve">Saccharina latissima</w:t>
      </w:r>
      <w:r>
        <w:t xml:space="preserve">) and tangle kelp (</w:t>
      </w:r>
      <w:r>
        <w:rPr>
          <w:iCs/>
          <w:i/>
        </w:rPr>
        <w:t xml:space="preserve">Laminaria hyperborea</w:t>
      </w:r>
      <w:r>
        <w:t xml:space="preserve">). Previous Norwegian kelp distribution maps are based either on a mosaic of models or on simple rule-based GIS models. The two distribution maps presented in this work, however, show plant densities of sugar kelp and tangle kelp along the entire coast of mainland Norway, as predicted from species specific models with national coverage. In addition to more accurate stock estimations, which is increasingly important with the demand for the inclusion of marine species in e.g. the national carbon inventories, the models may serve as tools for several management purposes, including resource management and spatial planning.</w:t>
      </w:r>
    </w:p>
    <w:p>
      <w:pPr>
        <w:pStyle w:val="BodyText"/>
      </w:pPr>
      <w:r>
        <w:rPr>
          <w:bCs/>
          <w:b/>
        </w:rPr>
        <w:t xml:space="preserve">Sett i fht. andre modeller og annen litteratur etc.:</w:t>
      </w:r>
      <w:r>
        <w:t xml:space="preserve"> </w:t>
      </w:r>
      <w:r>
        <w:t xml:space="preserve">According to the here presented tangle kelp model, forests (&gt; 4 plants m</w:t>
      </w:r>
      <w:r>
        <w:rPr>
          <w:vertAlign w:val="superscript"/>
        </w:rPr>
        <w:t xml:space="preserve">-2</w:t>
      </w:r>
      <w:r>
        <w:t xml:space="preserve">) cover an area of 2622 km</w:t>
      </w:r>
      <w:r>
        <w:rPr>
          <w:vertAlign w:val="superscript"/>
        </w:rPr>
        <w:t xml:space="preserve">2</w:t>
      </w:r>
      <w:r>
        <w:t xml:space="preserve">, while scarcer densities (1 - 4 plants m</w:t>
      </w:r>
      <w:r>
        <w:rPr>
          <w:vertAlign w:val="superscript"/>
        </w:rPr>
        <w:t xml:space="preserve">-2</w:t>
      </w:r>
      <w:r>
        <w:t xml:space="preserve">) are predicted over a total area of 10058 km</w:t>
      </w:r>
      <w:r>
        <w:rPr>
          <w:vertAlign w:val="superscript"/>
        </w:rPr>
        <w:t xml:space="preserve">2</w:t>
      </w:r>
      <w:r>
        <w:t xml:space="preserve">. The currently estimated areal cover of tangle kelp forest is considerably lower than previously predicted by rule-based models, by which forests was predicted to cover a total of 5900 km</w:t>
      </w:r>
      <w:r>
        <w:rPr>
          <w:vertAlign w:val="superscript"/>
        </w:rPr>
        <w:t xml:space="preserve">2</w:t>
      </w:r>
      <w:r>
        <w:t xml:space="preserve"> </w:t>
      </w:r>
      <w:r>
        <w:t xml:space="preserve">(Gundersen et a., 2011). This is likely to, at least in part, reflect the gap between potential and realized niche. For instance, spatial variation in variables that may indirectly impact kelp populations by driving the strength and direction of biological interactions, such as the dynamics of the predator-urchin-kelp (Rinde et al., 2014, Fagerli et al., 2014), kelp-turf relationships (Christie et al., 2019, Filbee-Dexter and Wernberg, 2019) or the impact of epibiontism (Sogn Andersen et al., 2019), may to a greater extent have been captured in the complexity of the BRT-model. But the difference in estimations also reflects the greater detail to which the ecological space is described. The BRT-model encompasses far more variables in the predictor, including climate relevant variables like temperature and salinity, which the rule-based models do not (</w:t>
      </w:r>
      <w:r>
        <w:rPr>
          <w:iCs/>
          <w:i/>
        </w:rPr>
        <w:t xml:space="preserve">stemmer dette?</w:t>
      </w:r>
      <w:r>
        <w:t xml:space="preserve">). Furthermore, the BRT-model describes gradual as well as abrupt changes along environmental gradients, and allows for complex interactions, where rule-based counterparts operates with strict cut-offs (</w:t>
      </w:r>
      <w:r>
        <w:rPr>
          <w:iCs/>
          <w:i/>
        </w:rPr>
        <w:t xml:space="preserve">stemmer dette?</w:t>
      </w:r>
      <w:r>
        <w:t xml:space="preserve">). All of this is likely to narrow down the theoretical environmental space in which the kelp exists to more closely resemble that of reality.</w:t>
      </w:r>
    </w:p>
    <w:p>
      <w:pPr>
        <w:pStyle w:val="BodyText"/>
      </w:pPr>
      <w:r>
        <w:t xml:space="preserve">The sugar kelp model predicts forests (&gt; 6 plants m</w:t>
      </w:r>
      <w:r>
        <w:rPr>
          <w:vertAlign w:val="superscript"/>
        </w:rPr>
        <w:t xml:space="preserve">-2</w:t>
      </w:r>
      <w:r>
        <w:t xml:space="preserve">) over a mere 3 km</w:t>
      </w:r>
      <w:r>
        <w:rPr>
          <w:vertAlign w:val="superscript"/>
        </w:rPr>
        <w:t xml:space="preserve">2</w:t>
      </w:r>
      <w:r>
        <w:t xml:space="preserve">, which is an alarmingly small number compared to previous estimations (Frigstad et al., 2021, Kvile et al., 2022), while scarcer densities (1 - 6 plants m</w:t>
      </w:r>
      <w:r>
        <w:rPr>
          <w:vertAlign w:val="superscript"/>
        </w:rPr>
        <w:t xml:space="preserve">-2</w:t>
      </w:r>
      <w:r>
        <w:t xml:space="preserve">) are predicted to cover approx. 6138 km</w:t>
      </w:r>
      <w:r>
        <w:rPr>
          <w:vertAlign w:val="superscript"/>
        </w:rPr>
        <w:t xml:space="preserve">2</w:t>
      </w:r>
      <w:r>
        <w:t xml:space="preserve">. The here presented model includes more explanatory variables in the predictor, and is far more detailed than previous attempts. At the same time, it is unclear whether the data actually represents the full range of the environmental space in which the sugar kelp thrives. The underlying kelp data predominantly stem from surveys conducted to document the distribution of tangle kelp, and data from typical sugar kelp areas are therefore underrepresented. This may have lead to observations of sugar kelp being biased towards low density registrations, which may contribute to an underestimation of sugar kelp densities and areal cover of forest, but not necessarily of the total distribution area. To asses this thoroughly, validation data is needed, covering a greater range of the potential environmental space in which sugar kelp occurs.</w:t>
      </w:r>
    </w:p>
    <w:p>
      <w:pPr>
        <w:pStyle w:val="BodyText"/>
      </w:pPr>
      <w:r>
        <w:t xml:space="preserve">The separation of distribution ranges, with more</w:t>
      </w:r>
      <w:r>
        <w:t xml:space="preserve"> </w:t>
      </w:r>
      <w:r>
        <w:rPr>
          <w:iCs/>
          <w:i/>
        </w:rPr>
        <w:t xml:space="preserve">L hyperborea</w:t>
      </w:r>
      <w:r>
        <w:t xml:space="preserve"> </w:t>
      </w:r>
      <w:r>
        <w:t xml:space="preserve">in areas exposed to high wave intensity, and more</w:t>
      </w:r>
      <w:r>
        <w:t xml:space="preserve"> </w:t>
      </w:r>
      <w:r>
        <w:rPr>
          <w:iCs/>
          <w:i/>
        </w:rPr>
        <w:t xml:space="preserve">S. latissima</w:t>
      </w:r>
      <w:r>
        <w:t xml:space="preserve"> </w:t>
      </w:r>
      <w:r>
        <w:t xml:space="preserve">in sheltered areas, is a well known pattern along the Norwegian coast (</w:t>
      </w:r>
      <w:r>
        <w:rPr>
          <w:iCs/>
          <w:i/>
        </w:rPr>
        <w:t xml:space="preserve">ref?</w:t>
      </w:r>
      <w:r>
        <w:t xml:space="preserve">). The differences in depth distribution, with the modelled pattern of</w:t>
      </w:r>
      <w:r>
        <w:t xml:space="preserve"> </w:t>
      </w:r>
      <w:r>
        <w:rPr>
          <w:iCs/>
          <w:i/>
        </w:rPr>
        <w:t xml:space="preserve">S. latissima</w:t>
      </w:r>
      <w:r>
        <w:t xml:space="preserve"> </w:t>
      </w:r>
      <w:r>
        <w:t xml:space="preserve">density in relation to depth (see Figure</w:t>
      </w:r>
      <w:r>
        <w:t xml:space="preserve"> </w:t>
      </w:r>
      <w:r>
        <w:t xml:space="preserve">??</w:t>
      </w:r>
      <w:r>
        <w:t xml:space="preserve">) indicating an optimum some meters below the surface, aligns well with the notion of an ongoing vertical squeeze in the species’ distribution range caused by a combination of environmental and biotic stressors (Sogn Andersen et al., 2019). The modelled relationship with lower kelp densities at higher nutrient concentrations, is congruent with studies showing a negative impact of eutrophichation on kelp, mostly through increased competition for substrate and light by turfs and epibionts (Filbee-Dexter et al., 2018, Sogn Andersen et al., 2019, Christie et al., 2019). The temperature optimas of</w:t>
      </w:r>
      <w:r>
        <w:t xml:space="preserve"> </w:t>
      </w:r>
      <w:r>
        <w:rPr>
          <w:iCs/>
          <w:i/>
        </w:rPr>
        <w:t xml:space="preserve">L. hyperborea</w:t>
      </w:r>
      <w:r>
        <w:t xml:space="preserve"> </w:t>
      </w:r>
      <w:r>
        <w:t xml:space="preserve">and</w:t>
      </w:r>
      <w:r>
        <w:t xml:space="preserve"> </w:t>
      </w:r>
      <w:r>
        <w:rPr>
          <w:iCs/>
          <w:i/>
        </w:rPr>
        <w:t xml:space="preserve">S. latissima</w:t>
      </w:r>
      <w:r>
        <w:t xml:space="preserve"> </w:t>
      </w:r>
      <w:r>
        <w:t xml:space="preserve">photosynthesis and growth have been documented in laboratory studies to somewhere in the range of 10 - 15°C (Bolton and Lüning 1982, Sogn Andersen et al., 2013), while maximum temperature for (gametophyte) survival has been shown at 21 and 23°C respectively (Bolton and Lüning 1982). Severe stress responses in sporophytes have been documented in Norwegian</w:t>
      </w:r>
      <w:r>
        <w:t xml:space="preserve"> </w:t>
      </w:r>
      <w:r>
        <w:rPr>
          <w:iCs/>
          <w:i/>
        </w:rPr>
        <w:t xml:space="preserve">S. latssima</w:t>
      </w:r>
      <w:r>
        <w:t xml:space="preserve"> </w:t>
      </w:r>
      <w:r>
        <w:t xml:space="preserve">that were grown at 20°C for 3-4 weeks. Both models seem to align reasonably well with previous findings of optimas and ranges. Furthermore, Gerard and Du Bois (1988) found considerable variation in the optimum temperature and in the upper tolerance limit among North American populations of S. latissima (Maine vs. LongIsland), and concluded that this was due to adaptation rather than acclimation. Borum et al. (2002) provided further strong evidence for adaptation to local temperature regimes in</w:t>
      </w:r>
      <w:r>
        <w:t xml:space="preserve"> </w:t>
      </w:r>
      <w:r>
        <w:rPr>
          <w:iCs/>
          <w:i/>
        </w:rPr>
        <w:t xml:space="preserve">S. latissima</w:t>
      </w:r>
      <w:r>
        <w:t xml:space="preserve"> </w:t>
      </w:r>
      <w:r>
        <w:t xml:space="preserve">collected in NE Greenland. These plants live in water with constantly low temperatures (from -1.4°C to 0.0°C), but their photosynthetic performance was very similar to that of plants from southern Norway grown at 10°C and 15°C (Sogn Andersen et al. 2013). These findings suggest that</w:t>
      </w:r>
      <w:r>
        <w:t xml:space="preserve"> </w:t>
      </w:r>
      <w:r>
        <w:rPr>
          <w:iCs/>
          <w:i/>
        </w:rPr>
        <w:t xml:space="preserve">S. latissima</w:t>
      </w:r>
      <w:r>
        <w:t xml:space="preserve"> </w:t>
      </w:r>
      <w:r>
        <w:t xml:space="preserve">can adapt to a broad range of temperatures, which may explain its wider range distribution (see Table</w:t>
      </w:r>
      <w:r>
        <w:t xml:space="preserve"> </w:t>
      </w:r>
      <w:r>
        <w:t xml:space="preserve">6.2</w:t>
      </w:r>
      <w:r>
        <w:t xml:space="preserve"> </w:t>
      </w:r>
      <w:r>
        <w:t xml:space="preserve">and Figure</w:t>
      </w:r>
      <w:r>
        <w:t xml:space="preserve"> </w:t>
      </w:r>
      <w:r>
        <w:t xml:space="preserve">6.3</w:t>
      </w:r>
      <w:r>
        <w:t xml:space="preserve">). The marginal effect plot of</w:t>
      </w:r>
      <w:r>
        <w:t xml:space="preserve"> </w:t>
      </w:r>
      <w:r>
        <w:rPr>
          <w:iCs/>
          <w:i/>
        </w:rPr>
        <w:t xml:space="preserve">S. latissima</w:t>
      </w:r>
      <w:r>
        <w:t xml:space="preserve"> </w:t>
      </w:r>
      <w:r>
        <w:t xml:space="preserve">in relation to maximum temperature, shows a positive</w:t>
      </w:r>
      <w:r>
        <w:t xml:space="preserve"> </w:t>
      </w:r>
      <w:r>
        <w:t xml:space="preserve">‘</w:t>
      </w:r>
      <w:r>
        <w:t xml:space="preserve">bump</w:t>
      </w:r>
      <w:r>
        <w:t xml:space="preserve">’</w:t>
      </w:r>
      <w:r>
        <w:t xml:space="preserve"> </w:t>
      </w:r>
      <w:r>
        <w:t xml:space="preserve">between 15 and 20°C. We wonder if this is in fact a consequence of released competitive pressure for substrate from</w:t>
      </w:r>
      <w:r>
        <w:t xml:space="preserve"> </w:t>
      </w:r>
      <w:r>
        <w:rPr>
          <w:iCs/>
          <w:i/>
        </w:rPr>
        <w:t xml:space="preserve">L. hyperborea</w:t>
      </w:r>
      <w:r>
        <w:t xml:space="preserve">, which generally seem to have stricter upper tolerance limits with regards to temperature (Bolton and Lüning 1982, see also Table</w:t>
      </w:r>
      <w:r>
        <w:t xml:space="preserve"> </w:t>
      </w:r>
      <w:r>
        <w:t xml:space="preserve">6.2</w:t>
      </w:r>
      <w:r>
        <w:t xml:space="preserve">). Although traditionally considered as a perennial macrophyte,</w:t>
      </w:r>
      <w:r>
        <w:t xml:space="preserve"> </w:t>
      </w:r>
      <w:r>
        <w:rPr>
          <w:iCs/>
          <w:i/>
        </w:rPr>
        <w:t xml:space="preserve">S. latissima</w:t>
      </w:r>
      <w:r>
        <w:t xml:space="preserve"> </w:t>
      </w:r>
      <w:r>
        <w:t xml:space="preserve">possesses many of the characteristic traits of an opportunistic species, such as high dispersal potential and colonization rate, which enables the species to rapidly colonize available substrate (Christie et al. 2019). This means that the sugar kelp may rise faster to the task of recolonizing an area where kelp has disappeared (for instance due to prolonged exposure to lethally high temperatures or extensive grazing) (see Leinaas et al., 1996), which may give the species a competitive advantage near range limits. We are also wondering if the seemingly opposite response patterns in relation to dissolved molecular oxygen and salinity (see</w:t>
      </w:r>
      <w:r>
        <w:t xml:space="preserve"> </w:t>
      </w:r>
      <w:r>
        <w:t xml:space="preserve">6.3</w:t>
      </w:r>
      <w:r>
        <w:t xml:space="preserve">), could be an expression of this competitive relationship, rather than actual differing preferences between the two kelp species. There is otherwise currently no reason to believe that these to species have very different tolerance with regards to high salinity and concentrations of dissolved molecular oxygen in the water.</w:t>
      </w:r>
    </w:p>
    <w:p>
      <w:pPr>
        <w:pStyle w:val="BodyText"/>
      </w:pPr>
      <w:r>
        <w:rPr>
          <w:bCs/>
          <w:b/>
        </w:rPr>
        <w:t xml:space="preserve">Sammenlign resultater med andre modelleringsstudier som viser sammenheng mellom miljøvar og tare - e.g. van Son og Gundersen et al , kanskje også noe internasjonalt</w:t>
      </w:r>
    </w:p>
    <w:p>
      <w:pPr>
        <w:pStyle w:val="BodyText"/>
      </w:pPr>
      <w:r>
        <w:rPr>
          <w:bCs/>
          <w:b/>
        </w:rPr>
        <w:t xml:space="preserve">Diskuter kort kobling til kråkeboller, turfs og konkurranse med hverandre (O2-respons, sal-respons). Kanskje burde man inkludert det fulle datasettet i tabellen også, slik at man kunne se tare-rom vs. undersøkt rom</w:t>
      </w:r>
    </w:p>
    <w:p>
      <w:pPr>
        <w:pStyle w:val="BodyText"/>
      </w:pPr>
      <w:r>
        <w:rPr>
          <w:bCs/>
          <w:b/>
        </w:rPr>
        <w:t xml:space="preserve">Nytteverdi etc.:</w:t>
      </w:r>
      <w:r>
        <w:t xml:space="preserve"> </w:t>
      </w:r>
      <w:r>
        <w:t xml:space="preserve">The coupling of the tangle kelp density model to models describing geographic variation in properties like biomass per plant (see Gundersen et al., 2021), paves the way for more detailed areal planning and management with respect to both harvesting, the management of resources associated with tangle kelp forests, and not the least with respect to the planning and management of marine protected areas (MPAs). Furthermore, low density areas may be important in the connectivity between more densely populated forest areas, and these new models gives an unique insight into potential corridors between populations. This insight is also important in planning and management of resource utilization and MPAs. Finally, the presented models may open several small windows into possible futures, serving as foundations for more realistic projections for blue forests, following for instance the different climate scenarios. Some caveats do however apply:</w:t>
      </w:r>
      <w:r>
        <w:br/>
      </w:r>
      <w:r>
        <w:t xml:space="preserve">It is virtually impossible to count the number of kelp individuals per square meter by drop camera in the field, and in most cases data were recorded as perceived percentage cover on a semi-quantitative scale. The recordings were then</w:t>
      </w:r>
      <w:r>
        <w:t xml:space="preserve"> </w:t>
      </w:r>
      <w:r>
        <w:t xml:space="preserve">“</w:t>
      </w:r>
      <w:r>
        <w:t xml:space="preserve">translated</w:t>
      </w:r>
      <w:r>
        <w:t xml:space="preserve">”</w:t>
      </w:r>
      <w:r>
        <w:t xml:space="preserve"> </w:t>
      </w:r>
      <w:r>
        <w:t xml:space="preserve">into probable plant densities based on … (should this be explained more thoroughly?). However, the field personnel is thoroughly trained, and most areas have been mapped by the same people over several years, which at least minimizes the risk of systematic deviance in quantification. This does however also mean that while the density maps may reflect a gradient in forest volume and habitat function quite accurately, the conversion to biomass and eventually carbon numbers, is likely to be far less accurate. But, what</w:t>
      </w:r>
      <w:r>
        <w:t xml:space="preserve"> </w:t>
      </w:r>
      <w:r>
        <w:rPr>
          <w:iCs/>
          <w:i/>
        </w:rPr>
        <w:t xml:space="preserve">is</w:t>
      </w:r>
      <w:r>
        <w:t xml:space="preserve"> </w:t>
      </w:r>
      <w:r>
        <w:t xml:space="preserve">certain, is that the here presented tangle kelp model is far better than its predecessors for all purposes. (</w:t>
      </w:r>
      <w:r>
        <w:rPr>
          <w:bCs/>
          <w:b/>
        </w:rPr>
        <w:t xml:space="preserve">Need to compare rule-based - nordic carbon - present models to show this. Less certain about the sugar kelp model</w:t>
      </w:r>
      <w:r>
        <w:t xml:space="preserve">). The sugar kelp model is however, perhaps a different matter … (but this remains to be seen - lack of representative data for testing - blabla - …)</w:t>
      </w:r>
    </w:p>
    <w:p>
      <w:pPr>
        <w:pStyle w:val="BodyText"/>
      </w:pPr>
      <w:r>
        <w:rPr>
          <w:bCs/>
          <w:b/>
        </w:rPr>
        <w:t xml:space="preserve">Kutt? Kompliserer ting undøvendig?</w:t>
      </w:r>
      <w:r>
        <w:rPr>
          <w:iCs/>
          <w:i/>
        </w:rPr>
        <w:t xml:space="preserve">The number of canopy plants that amount to a given percentage of cover, could thus vary greatly depending on plant, and especially on lamina size, which is likely to vary systematically both geographically and along environmental gradients (Hvordan kommer vi rundt dette?). However, even when the canopy layer is dense, an understory layer of smaller plants, stands ready to burst into growth if the canopy disappears…</w:t>
      </w:r>
      <w:r>
        <w:rPr>
          <w:iCs/>
          <w:i/>
        </w:rPr>
        <w:t xml:space="preserve"> </w:t>
      </w:r>
    </w:p>
    <w:p>
      <w:pPr>
        <w:pStyle w:val="BodyText"/>
      </w:pPr>
      <w:r>
        <w:rPr>
          <w:bCs/>
          <w:b/>
        </w:rPr>
        <w:t xml:space="preserve">Kan vurdere å bruke evalueringssystemet i Sofaer et al 2019 (Development and Delivery of Species Distribution Models to Inform Decision-Making). Vi havner på et akseptabelt nivå tror jeg.</w:t>
      </w:r>
    </w:p>
    <w:p>
      <w:pPr>
        <w:pStyle w:val="BodyText"/>
      </w:pPr>
      <w:r>
        <w:rPr>
          <w:bCs/>
          <w:b/>
        </w:rPr>
        <w:t xml:space="preserve">From report:</w:t>
      </w:r>
      <w:r>
        <w:t xml:space="preserve"> </w:t>
      </w:r>
      <w:r>
        <w:t xml:space="preserve">When including all areas with densities ≥1 plant per m2, we estimated the total area</w:t>
      </w:r>
      <w:r>
        <w:t xml:space="preserve"> </w:t>
      </w:r>
      <w:r>
        <w:t xml:space="preserve">covered by tangle kelp to be 18 155 km2, and 44 300 km2 for sugar kelp. However,</w:t>
      </w:r>
      <w:r>
        <w:t xml:space="preserve"> </w:t>
      </w:r>
      <w:r>
        <w:t xml:space="preserve">when including only high-density areas, by setting cut-off values for forest at ≥5 for</w:t>
      </w:r>
      <w:r>
        <w:t xml:space="preserve"> </w:t>
      </w:r>
      <w:r>
        <w:t xml:space="preserve">tangle kelp and ≥7 for sugar kelp, these numbers were reduced to 3 810 km2 and 3</w:t>
      </w:r>
      <w:r>
        <w:t xml:space="preserve"> </w:t>
      </w:r>
      <w:r>
        <w:t xml:space="preserve">607 km2. These numbers are slightly lower for tangle kelp and higher for sugar kelp</w:t>
      </w:r>
      <w:r>
        <w:t xml:space="preserve"> </w:t>
      </w:r>
      <w:r>
        <w:t xml:space="preserve">compared to former estimates by Gundersen et al. (2011), who estimated 5 900 km2</w:t>
      </w:r>
      <w:r>
        <w:t xml:space="preserve"> </w:t>
      </w:r>
      <w:r>
        <w:t xml:space="preserve">and 2 000 km2 for tangle kelp and sugar kelp, respectively, using a rule-based GIS</w:t>
      </w:r>
      <w:r>
        <w:t xml:space="preserve"> </w:t>
      </w:r>
      <w:r>
        <w:t xml:space="preserve">model. It should also be taken into consideration that, since Gundersen et al. (2011)</w:t>
      </w:r>
      <w:r>
        <w:t xml:space="preserve"> </w:t>
      </w:r>
      <w:r>
        <w:t xml:space="preserve">made these estimates, there has been a significant regrowth of kelp (mostly sugar</w:t>
      </w:r>
      <w:r>
        <w:t xml:space="preserve"> </w:t>
      </w:r>
      <w:r>
        <w:t xml:space="preserve">kelp) following sea urchin destruction.</w:t>
      </w:r>
      <w:r>
        <w:t xml:space="preserve"> </w:t>
      </w:r>
      <w:r>
        <w:t xml:space="preserve">The new kelp distribution models provided very detailed maps of densities, which</w:t>
      </w:r>
      <w:r>
        <w:t xml:space="preserve"> </w:t>
      </w:r>
      <w:r>
        <w:t xml:space="preserve">varied greatly depending on environmental factors (Figure 2 and Figure 3). Insight</w:t>
      </w:r>
      <w:r>
        <w:t xml:space="preserve"> </w:t>
      </w:r>
      <w:r>
        <w:t xml:space="preserve">into this spatial variation showed that there are vast areas with low densities of kelp</w:t>
      </w:r>
      <w:r>
        <w:t xml:space="preserve"> </w:t>
      </w:r>
      <w:r>
        <w:t xml:space="preserve">forest along the Norwegian coast, compared to the high-density forests (Figure 4).</w:t>
      </w:r>
      <w:r>
        <w:t xml:space="preserve"> </w:t>
      </w:r>
      <w:r>
        <w:t xml:space="preserve">The primary production is calculated and presented in Chapter 3.</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hyperlink" Id="rId34" Target="http://www.bio-oracle.org" TargetMode="External" /></Relationships>
</file>

<file path=word/_rels/footnotes.xml.rels><?xml version="1.0" encoding="UTF-8"?><Relationships xmlns="http://schemas.openxmlformats.org/package/2006/relationships"><Relationship Type="http://schemas.openxmlformats.org/officeDocument/2006/relationships/hyperlink" Id="rId34" Target="http://www.bio-oracl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Norwegian tangle and sugar kelp models</dc:title>
  <dc:creator>Guri Sogn Andersen &amp; Kristina Kvile</dc:creator>
  <cp:keywords/>
  <dcterms:created xsi:type="dcterms:W3CDTF">2023-03-10T11:14:40Z</dcterms:created>
  <dcterms:modified xsi:type="dcterms:W3CDTF">2023-03-10T11:14:40Z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4 8 2022</vt:lpwstr>
  </property>
  <property fmtid="{D5CDD505-2E9C-101B-9397-08002B2CF9AE}" pid="3" name="output">
    <vt:lpwstr/>
  </property>
</Properties>
</file>