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sz w:val="38"/>
        </w:rPr>
        <w:t>Krisostomus Nova Rahmanto</w:t>
      </w:r>
    </w:p>
    <w:p>
      <w:pPr>
        <w:spacing w:before="0" w:after="60"/>
      </w:pPr>
      <w:r>
        <w:rPr>
          <w:color w:val="333333"/>
          <w:sz w:val="22"/>
        </w:rPr>
        <w:t>Data Scientist &amp; Enterprise Data Architect</w:t>
      </w:r>
    </w:p>
    <w:p>
      <w:pPr>
        <w:spacing w:before="0" w:after="20"/>
      </w:pPr>
      <w:r>
        <w:rPr>
          <w:sz w:val="19"/>
        </w:rPr>
        <w:t>Yogyakarta, Indonesia | vista.indonesia@gmail.com</w:t>
      </w:r>
    </w:p>
    <w:p>
      <w:pPr>
        <w:spacing w:before="0" w:after="120"/>
      </w:pPr>
      <w:r>
        <w:rPr>
          <w:sz w:val="18"/>
        </w:rPr>
        <w:t>LinkedIn: https://www.linkedin.com/in/krisostomus-nova-rahmanto/ | GitHub: https://github.com/kristonova | Google Scholar: https://scholar.google.com/citations?user=7rBNBX4AAAAJ&amp;hl=en</w:t>
      </w:r>
    </w:p>
    <w:p>
      <w:pPr>
        <w:pStyle w:val="Heading1"/>
        <w:spacing w:before="160" w:after="40"/>
      </w:pPr>
      <w:r>
        <w:rPr>
          <w:color w:val="1A3C6E"/>
          <w:sz w:val="23"/>
        </w:rPr>
        <w:t>Profile</w:t>
      </w:r>
    </w:p>
    <w:p>
      <w:pPr>
        <w:spacing w:before="0" w:after="60"/>
      </w:pPr>
      <w:r>
        <w:rPr>
          <w:b w:val="0"/>
          <w:i w:val="0"/>
        </w:rPr>
        <w:t>Data scientist and enterprise data architect with 8+ years designing national-scale data systems for Indonesian ministries and state-owned enterprises, and CEO and co-founder of a data analytics training and consulting firm. M.Sc. in Data Science from EURECOM, France, with thesis and internship work on LLM-based support for high-performance computing. Delivered TOGAF data architectures for the Ministry of Health, the National Energy Council, and the state pharmaceutical holding; trained and assessed 340+ civil servants, executives, and students.</w:t>
      </w:r>
    </w:p>
    <w:p>
      <w:pPr>
        <w:pStyle w:val="Heading1"/>
        <w:spacing w:before="160" w:after="40"/>
      </w:pPr>
      <w:r>
        <w:rPr>
          <w:color w:val="1A3C6E"/>
          <w:sz w:val="23"/>
        </w:rPr>
        <w:t>Professional Experience</w:t>
      </w:r>
    </w:p>
    <w:p>
      <w:pPr>
        <w:tabs>
          <w:tab w:pos="10368" w:val="right"/>
        </w:tabs>
        <w:spacing w:before="80" w:after="20"/>
      </w:pPr>
      <w:r>
        <w:rPr>
          <w:b/>
        </w:rPr>
        <w:t>EFISON Lisan Teknologi — HPC &amp; AI Engineer (M.Sc. Internship)</w:t>
      </w:r>
      <w:r>
        <w:tab/>
        <w:t>Feb 2026 – Jul 2026</w:t>
      </w:r>
    </w:p>
    <w:p>
      <w:pPr>
        <w:spacing w:before="0" w:after="20"/>
      </w:pPr>
      <w:r>
        <w:rPr>
          <w:i/>
          <w:sz w:val="18"/>
        </w:rPr>
        <w:t>Indonesia</w:t>
      </w:r>
    </w:p>
    <w:p>
      <w:pPr>
        <w:pStyle w:val="ListBullet"/>
        <w:spacing w:before="0" w:after="20"/>
      </w:pPr>
      <w:r>
        <w:t>Built a large language model (LLM) prototype for level-1 high-performance computing (HPC) user support, automating first-line responses to HPC cluster queries.</w:t>
      </w:r>
    </w:p>
    <w:p>
      <w:pPr>
        <w:pStyle w:val="ListBullet"/>
        <w:spacing w:before="0" w:after="20"/>
      </w:pPr>
      <w:r>
        <w:t>Delivered the work as the EURECOM M.Sc. thesis under the supervision of Simone Rossi.</w:t>
      </w:r>
    </w:p>
    <w:p>
      <w:pPr>
        <w:tabs>
          <w:tab w:pos="10368" w:val="right"/>
        </w:tabs>
        <w:spacing w:before="80" w:after="20"/>
      </w:pPr>
      <w:r>
        <w:rPr>
          <w:b/>
        </w:rPr>
        <w:t>PT Sadasa Akademi Indonesia (Sadasa Academy) — Chief Executive Officer &amp; Co-founder</w:t>
      </w:r>
      <w:r>
        <w:tab/>
        <w:t>Feb 2019 – Present</w:t>
      </w:r>
    </w:p>
    <w:p>
      <w:pPr>
        <w:spacing w:before="0" w:after="20"/>
      </w:pPr>
      <w:r>
        <w:rPr>
          <w:i/>
          <w:sz w:val="18"/>
        </w:rPr>
        <w:t>Yogyakarta, Indonesia</w:t>
      </w:r>
    </w:p>
    <w:p>
      <w:pPr>
        <w:pStyle w:val="ListBullet"/>
        <w:spacing w:before="0" w:after="20"/>
      </w:pPr>
      <w:r>
        <w:t>Co-founded and lead a data analytics training and consulting firm; accountable for executive, financial, and operational management and for the full product development lifecycle.</w:t>
      </w:r>
    </w:p>
    <w:p>
      <w:pPr>
        <w:pStyle w:val="ListBullet"/>
        <w:spacing w:before="0" w:after="20"/>
      </w:pPr>
      <w:r>
        <w:t>Built four service lines — corporate training, video learning, consulting, and a digital talent bridge — serving Indonesian ministries, state-owned enterprises, and private companies.</w:t>
      </w:r>
    </w:p>
    <w:p>
      <w:pPr>
        <w:pStyle w:val="ListBullet"/>
        <w:spacing w:before="0" w:after="20"/>
      </w:pPr>
      <w:r>
        <w:t>Established the firm as a BNSP-licensed partner for national data science competency assessment.</w:t>
      </w:r>
    </w:p>
    <w:p>
      <w:pPr>
        <w:spacing w:before="60" w:after="20"/>
      </w:pPr>
      <w:r>
        <w:rPr>
          <w:i/>
        </w:rPr>
        <w:t>Selected client engagements: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Kementerian Keuangan RI — Direktorat Jenderal Perbendaharaan (DJPb) — BNSP Competency Assessor</w:t>
      </w:r>
      <w:r>
        <w:tab/>
        <w:t>Aug 2023 – Oct 2023</w:t>
      </w:r>
    </w:p>
    <w:p>
      <w:pPr>
        <w:pStyle w:val="ListBullet"/>
        <w:spacing w:before="0" w:after="20"/>
        <w:ind w:left="691"/>
      </w:pPr>
      <w:r>
        <w:t>Assessed the IT competency of 183 civil servants at the Directorate of Treasury Information Systems and Technology (SITP) against SKKNI national competency standards.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PT Bio Farma (Persero) — Data Architect Project Manager</w:t>
      </w:r>
      <w:r>
        <w:tab/>
        <w:t>Mar 2022 – Sep 2022</w:t>
      </w:r>
    </w:p>
    <w:p>
      <w:pPr>
        <w:pStyle w:val="ListBullet"/>
        <w:spacing w:before="0" w:after="20"/>
        <w:ind w:left="691"/>
      </w:pPr>
      <w:r>
        <w:t>Led the business architect and data architect teams delivering the TOGAF data architecture for Indonesia's state-owned pharmaceutical holding.</w:t>
      </w:r>
    </w:p>
    <w:p>
      <w:pPr>
        <w:pStyle w:val="ListBullet"/>
        <w:spacing w:before="0" w:after="20"/>
        <w:ind w:left="691"/>
      </w:pPr>
      <w:r>
        <w:t>Ran requirements interviews with 14 member companies across 9 value chains, from Board of Directors down to BoD-2.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Perumda Air Minum Tirta Khatulistiwa (PDAM Pontianak) — IT Master Plan Advisor</w:t>
      </w:r>
      <w:r>
        <w:tab/>
        <w:t>Apr 2022 – Aug 2022</w:t>
      </w:r>
    </w:p>
    <w:p>
      <w:pPr>
        <w:pStyle w:val="ListBullet"/>
        <w:spacing w:before="0" w:after="20"/>
        <w:ind w:left="691"/>
      </w:pPr>
      <w:r>
        <w:t>Authored the IT division master plan across business, data, application, and technology architecture using TOGAF.</w:t>
      </w:r>
    </w:p>
    <w:p>
      <w:pPr>
        <w:pStyle w:val="ListBullet"/>
        <w:spacing w:before="0" w:after="20"/>
        <w:ind w:left="691"/>
      </w:pPr>
      <w:r>
        <w:t>Specified the target cloud infrastructure architecture in collaboration with AWS.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Kementerian Kesehatan Republik Indonesia — Data Architect</w:t>
      </w:r>
      <w:r>
        <w:tab/>
        <w:t>Nov 2021 – Dec 2021</w:t>
      </w:r>
    </w:p>
    <w:p>
      <w:pPr>
        <w:pStyle w:val="ListBullet"/>
        <w:spacing w:before="0" w:after="20"/>
        <w:ind w:left="691"/>
      </w:pPr>
      <w:r>
        <w:t>Designed the ministry's TOGAF data architecture — conceptual and logical data models plus the data catalogue.</w:t>
      </w:r>
    </w:p>
    <w:p>
      <w:pPr>
        <w:pStyle w:val="ListBullet"/>
        <w:spacing w:before="0" w:after="20"/>
        <w:ind w:left="691"/>
      </w:pPr>
      <w:r>
        <w:t>Delivered with the Digital Transformation Office, UNDP, and USAID; incorporated into the national Digital Transformation Strategy 2024.</w:t>
      </w:r>
    </w:p>
    <w:p>
      <w:pPr>
        <w:pStyle w:val="ListBullet"/>
        <w:spacing w:before="0" w:after="20"/>
        <w:ind w:left="691"/>
      </w:pPr>
      <w:r>
        <w:rPr>
          <w:sz w:val="17"/>
        </w:rPr>
        <w:t>https://dto.kemkes.go.id/Digital-Transformation-Strategy-2024.pdf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Dewan Energi Nasional Republik Indonesia (SINAR) — Data Modeller</w:t>
      </w:r>
      <w:r>
        <w:tab/>
        <w:t>Nov 2021 – Jul 2022</w:t>
      </w:r>
    </w:p>
    <w:p>
      <w:pPr>
        <w:pStyle w:val="ListBullet"/>
        <w:spacing w:before="0" w:after="20"/>
        <w:ind w:left="691"/>
      </w:pPr>
      <w:r>
        <w:t>Designed Indonesia's national energy data model and entity-relationship diagram for SPEND (Sistem Pemantauan Energi Nasional dan Daerah).</w:t>
      </w:r>
    </w:p>
    <w:p>
      <w:pPr>
        <w:pStyle w:val="ListBullet"/>
        <w:spacing w:before="0" w:after="20"/>
        <w:ind w:left="691"/>
      </w:pPr>
      <w:r>
        <w:t>Delivered within the SINAR consortium of USAID, the National Energy Council, and PT WeSolve Solusi Indonesia.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Komisi Pemberantasan Korupsi (KPK) — Data Analyst</w:t>
      </w:r>
      <w:r>
        <w:tab/>
        <w:t>Jun 2020 – Dec 2020</w:t>
      </w:r>
    </w:p>
    <w:p>
      <w:pPr>
        <w:pStyle w:val="ListBullet"/>
        <w:spacing w:before="0" w:after="20"/>
        <w:ind w:left="691"/>
      </w:pPr>
      <w:r>
        <w:t>Advised on using national ID numbers to improve social assistance and subsidy targeting across three provinces.</w:t>
      </w:r>
    </w:p>
    <w:p>
      <w:pPr>
        <w:pStyle w:val="ListBullet"/>
        <w:spacing w:before="0" w:after="20"/>
        <w:ind w:left="691"/>
      </w:pPr>
      <w:r>
        <w:t>Translated technical findings for governors and provincial secretaries, bridging the engineering team and policy makers.</w:t>
      </w:r>
    </w:p>
    <w:p>
      <w:pPr>
        <w:pStyle w:val="Heading1"/>
        <w:spacing w:before="160" w:after="40"/>
      </w:pPr>
      <w:r>
        <w:rPr>
          <w:color w:val="1A3C6E"/>
          <w:sz w:val="23"/>
        </w:rPr>
        <w:t>Education</w:t>
      </w:r>
    </w:p>
    <w:p>
      <w:pPr>
        <w:tabs>
          <w:tab w:pos="10368" w:val="right"/>
        </w:tabs>
        <w:spacing w:before="80" w:after="20"/>
      </w:pPr>
      <w:r>
        <w:rPr>
          <w:b/>
        </w:rPr>
        <w:t>M.Sc. in Computer Science, major in Data Science — EURECOM</w:t>
      </w:r>
      <w:r>
        <w:tab/>
        <w:t>Sep 2024 – Jul 2026</w:t>
      </w:r>
    </w:p>
    <w:p>
      <w:pPr>
        <w:spacing w:before="0" w:after="20"/>
      </w:pPr>
      <w:r>
        <w:rPr>
          <w:i/>
          <w:sz w:val="18"/>
        </w:rPr>
        <w:t>Sophia Antipolis, France</w:t>
      </w:r>
    </w:p>
    <w:p>
      <w:pPr>
        <w:pStyle w:val="ListBullet"/>
        <w:spacing w:before="0" w:after="20"/>
      </w:pPr>
      <w:r>
        <w:t>Graduated 29 July 2026.</w:t>
      </w:r>
    </w:p>
    <w:p>
      <w:pPr>
        <w:pStyle w:val="ListBullet"/>
        <w:spacing w:before="0" w:after="20"/>
      </w:pPr>
      <w:r>
        <w:t>Thesis: “Development of a Large Language Model (LLM) Prototype for L1 High-Performance Computing (HPC) Support” — supervised by Simone Rossi.</w:t>
      </w:r>
    </w:p>
    <w:p>
      <w:pPr>
        <w:pStyle w:val="ListBullet"/>
        <w:spacing w:before="0" w:after="20"/>
      </w:pPr>
      <w:r>
        <w:t>Coursework focus: big data, data science, and data analytics.</w:t>
      </w:r>
    </w:p>
    <w:p>
      <w:pPr>
        <w:pStyle w:val="ListBullet"/>
        <w:spacing w:before="0" w:after="20"/>
      </w:pPr>
      <w:r>
        <w:t>Funded by the LPDP Scholarship (PK-237), Indonesia Endowment Fund for Education.</w:t>
      </w:r>
    </w:p>
    <w:p>
      <w:pPr>
        <w:tabs>
          <w:tab w:pos="10368" w:val="right"/>
        </w:tabs>
        <w:spacing w:before="80" w:after="20"/>
      </w:pPr>
      <w:r>
        <w:rPr>
          <w:b/>
        </w:rPr>
        <w:t>S.Kom. — Bachelor of Computer Science, with Honours — Universitas Gadjah Mada</w:t>
      </w:r>
      <w:r>
        <w:tab/>
        <w:t>Sep 2013 – Dec 2017</w:t>
      </w:r>
    </w:p>
    <w:p>
      <w:pPr>
        <w:spacing w:before="0" w:after="20"/>
      </w:pPr>
      <w:r>
        <w:rPr>
          <w:i/>
          <w:sz w:val="18"/>
        </w:rPr>
        <w:t>Yogyakarta, Indonesia</w:t>
      </w:r>
    </w:p>
    <w:p>
      <w:pPr>
        <w:pStyle w:val="ListBullet"/>
        <w:spacing w:before="0" w:after="20"/>
      </w:pPr>
      <w:r>
        <w:t>GPA 3.87 / 4.00.</w:t>
      </w:r>
    </w:p>
    <w:p>
      <w:pPr>
        <w:pStyle w:val="ListBullet"/>
        <w:spacing w:before="0" w:after="20"/>
      </w:pPr>
      <w:r>
        <w:t>Thesis: “Data Preservation Process in Big Data Environment” — advised by Dr. Mardhani Riasetiawan; published at IEEE ICST 2018.</w:t>
      </w:r>
    </w:p>
    <w:p>
      <w:pPr>
        <w:pStyle w:val="Heading1"/>
        <w:spacing w:before="160" w:after="40"/>
      </w:pPr>
      <w:r>
        <w:rPr>
          <w:color w:val="1A3C6E"/>
          <w:sz w:val="23"/>
        </w:rPr>
        <w:t>Skills</w:t>
      </w:r>
    </w:p>
    <w:p>
      <w:pPr>
        <w:pStyle w:val="ListBullet"/>
        <w:spacing w:before="0" w:after="20"/>
      </w:pPr>
      <w:r>
        <w:rPr>
          <w:b/>
          <w:i w:val="0"/>
        </w:rPr>
        <w:t xml:space="preserve">Programming: </w:t>
      </w:r>
      <w:r>
        <w:rPr>
          <w:b w:val="0"/>
          <w:i w:val="0"/>
        </w:rPr>
        <w:t>Python, R, C++, SQL</w:t>
      </w:r>
    </w:p>
    <w:p>
      <w:pPr>
        <w:pStyle w:val="ListBullet"/>
        <w:spacing w:before="0" w:after="20"/>
      </w:pPr>
      <w:r>
        <w:rPr>
          <w:b/>
          <w:i w:val="0"/>
        </w:rPr>
        <w:t xml:space="preserve">Machine Learning &amp; AI: </w:t>
      </w:r>
      <w:r>
        <w:rPr>
          <w:b w:val="0"/>
          <w:i w:val="0"/>
        </w:rPr>
        <w:t>scikit-learn, TensorFlow, spaCy, Large Language Models (LLM), Self-Organizing Maps</w:t>
      </w:r>
    </w:p>
    <w:p>
      <w:pPr>
        <w:pStyle w:val="ListBullet"/>
        <w:spacing w:before="0" w:after="20"/>
      </w:pPr>
      <w:r>
        <w:rPr>
          <w:b/>
          <w:i w:val="0"/>
        </w:rPr>
        <w:t xml:space="preserve">Big Data &amp; HPC: </w:t>
      </w:r>
      <w:r>
        <w:rPr>
          <w:b w:val="0"/>
          <w:i w:val="0"/>
        </w:rPr>
        <w:t>Hadoop (HDFS, MapReduce, YARN), Apache Spark, Apache Solr, High-Performance Computing (HPC)</w:t>
      </w:r>
    </w:p>
    <w:p>
      <w:pPr>
        <w:pStyle w:val="ListBullet"/>
        <w:spacing w:before="0" w:after="20"/>
      </w:pPr>
      <w:r>
        <w:rPr>
          <w:b/>
          <w:i w:val="0"/>
        </w:rPr>
        <w:t xml:space="preserve">Data &amp; Enterprise Architecture: </w:t>
      </w:r>
      <w:r>
        <w:rPr>
          <w:b w:val="0"/>
          <w:i w:val="0"/>
        </w:rPr>
        <w:t>TOGAF, Conceptual &amp; logical data modelling, Entity-relationship design, Data cataloguing</w:t>
      </w:r>
    </w:p>
    <w:p>
      <w:pPr>
        <w:pStyle w:val="ListBullet"/>
        <w:spacing w:before="0" w:after="20"/>
      </w:pPr>
      <w:r>
        <w:rPr>
          <w:b/>
          <w:i w:val="0"/>
        </w:rPr>
        <w:t xml:space="preserve">Methods &amp; Standards: </w:t>
      </w:r>
      <w:r>
        <w:rPr>
          <w:b w:val="0"/>
          <w:i w:val="0"/>
        </w:rPr>
        <w:t>CRISP-DM, ISO/IEC 27001, ISO 14721 (OAIS), SKKNI competency assessment, Agile, Scrum</w:t>
      </w:r>
    </w:p>
    <w:p>
      <w:pPr>
        <w:pStyle w:val="ListBullet"/>
        <w:spacing w:before="0" w:after="20"/>
      </w:pPr>
      <w:r>
        <w:rPr>
          <w:b/>
          <w:i w:val="0"/>
        </w:rPr>
        <w:t xml:space="preserve">Visualisation &amp; Cloud: </w:t>
      </w:r>
      <w:r>
        <w:rPr>
          <w:b w:val="0"/>
          <w:i w:val="0"/>
        </w:rPr>
        <w:t>Tableau, CARTO, AWS</w:t>
      </w:r>
    </w:p>
    <w:p>
      <w:pPr>
        <w:pStyle w:val="Heading1"/>
        <w:spacing w:before="160" w:after="40"/>
      </w:pPr>
      <w:r>
        <w:rPr>
          <w:color w:val="1A3C6E"/>
          <w:sz w:val="23"/>
        </w:rPr>
        <w:t>Languages</w:t>
      </w:r>
    </w:p>
    <w:p>
      <w:pPr>
        <w:pStyle w:val="ListBullet"/>
        <w:spacing w:before="0" w:after="20"/>
      </w:pPr>
      <w:r>
        <w:rPr>
          <w:b/>
          <w:i w:val="0"/>
        </w:rPr>
        <w:t xml:space="preserve">Indonesian: </w:t>
      </w:r>
      <w:r>
        <w:rPr>
          <w:b w:val="0"/>
          <w:i w:val="0"/>
        </w:rPr>
        <w:t>Native</w:t>
      </w:r>
    </w:p>
    <w:p>
      <w:pPr>
        <w:pStyle w:val="ListBullet"/>
        <w:spacing w:before="0" w:after="20"/>
      </w:pPr>
      <w:r>
        <w:rPr>
          <w:b/>
          <w:i w:val="0"/>
        </w:rPr>
        <w:t xml:space="preserve">English: </w:t>
      </w:r>
      <w:r>
        <w:rPr>
          <w:b w:val="0"/>
          <w:i w:val="0"/>
        </w:rPr>
        <w:t>Professional working proficiency</w:t>
      </w:r>
      <w:r>
        <w:rPr>
          <w:b w:val="0"/>
          <w:i w:val="0"/>
        </w:rPr>
        <w:t xml:space="preserve"> — IELTS Academic 6.5 — Listening 7.0 · Reading 7.5 · Writing 6.0 · Speaking 6.0</w:t>
      </w:r>
    </w:p>
    <w:p>
      <w:pPr>
        <w:pStyle w:val="ListBullet"/>
        <w:spacing w:before="0" w:after="20"/>
      </w:pPr>
      <w:r>
        <w:rPr>
          <w:b/>
          <w:i w:val="0"/>
        </w:rPr>
        <w:t xml:space="preserve">French: </w:t>
      </w:r>
      <w:r>
        <w:rPr>
          <w:b w:val="0"/>
          <w:i w:val="0"/>
        </w:rPr>
        <w:t>B1 (CEFR)</w:t>
      </w:r>
      <w:r>
        <w:rPr>
          <w:b w:val="0"/>
          <w:i w:val="0"/>
        </w:rPr>
        <w:t xml:space="preserve"> — TCF — compréhension orale 312 · maîtrise des structures de la langue 346 · compréhension écrite 369</w:t>
      </w:r>
    </w:p>
    <w:p>
      <w:pPr>
        <w:pStyle w:val="Heading1"/>
        <w:spacing w:before="160" w:after="40"/>
      </w:pPr>
      <w:r>
        <w:rPr>
          <w:color w:val="1A3C6E"/>
          <w:sz w:val="23"/>
        </w:rPr>
        <w:t>Publications</w:t>
      </w:r>
    </w:p>
    <w:p>
      <w:pPr>
        <w:pStyle w:val="ListBullet"/>
        <w:spacing w:before="0" w:after="20"/>
      </w:pPr>
      <w:r>
        <w:rPr>
          <w:b w:val="0"/>
          <w:i w:val="0"/>
        </w:rPr>
        <w:t>Rahmanto, K. N., &amp; Riasetiawan, M. (2018). “Data Preservation Process in Big Data Environment using Open Archival Information System.” Proceedings of the 4th International Conference on Science and Technology (ICST), IEEE, pp. 1–6. DOI: 10.1109/ICSTC.2018.8528669.</w:t>
      </w:r>
      <w:r>
        <w:rPr>
          <w:sz w:val="17"/>
        </w:rPr>
        <w:t xml:space="preserve"> https://ieeexplore.ieee.org/document/8528669</w:t>
      </w:r>
    </w:p>
    <w:p>
      <w:pPr>
        <w:pStyle w:val="Heading1"/>
        <w:spacing w:before="160" w:after="40"/>
      </w:pPr>
      <w:r>
        <w:rPr>
          <w:color w:val="1A3C6E"/>
          <w:sz w:val="23"/>
        </w:rPr>
        <w:t>Professional Certifications</w:t>
      </w:r>
    </w:p>
    <w:p>
      <w:pPr>
        <w:pStyle w:val="ListBullet"/>
        <w:spacing w:before="0" w:after="20"/>
      </w:pPr>
      <w:r>
        <w:rPr>
          <w:b/>
          <w:i w:val="0"/>
        </w:rPr>
        <w:t>Certificate of Competence in Data Science — Big Data Scientist</w:t>
      </w:r>
      <w:r>
        <w:rPr>
          <w:b w:val="0"/>
          <w:i w:val="0"/>
        </w:rPr>
        <w:t xml:space="preserve"> — Badan Nasional Sertifikasi Profesi (BNSP), Reg. TIK.1565.05386 2021</w:t>
      </w:r>
      <w:r>
        <w:rPr>
          <w:b w:val="0"/>
          <w:i w:val="0"/>
        </w:rPr>
        <w:t xml:space="preserve"> (issued Sep 2021, 3y, expired)</w:t>
      </w:r>
    </w:p>
    <w:p>
      <w:pPr>
        <w:pStyle w:val="ListBullet"/>
        <w:spacing w:before="0" w:after="20"/>
      </w:pPr>
      <w:r>
        <w:rPr>
          <w:b/>
          <w:i w:val="0"/>
        </w:rPr>
        <w:t>Certificate of Competence in Workplace Assessment (IT skills)</w:t>
      </w:r>
      <w:r>
        <w:rPr>
          <w:b w:val="0"/>
          <w:i w:val="0"/>
        </w:rPr>
        <w:t xml:space="preserve"> — Badan Nasional Sertifikasi Profesi (BNSP), Reg. MET.000.005057 2019</w:t>
      </w:r>
      <w:r>
        <w:rPr>
          <w:b w:val="0"/>
          <w:i w:val="0"/>
        </w:rPr>
        <w:t xml:space="preserve"> (issued Mar 2023, 3y, expired)</w:t>
      </w:r>
      <w:r>
        <w:rPr>
          <w:b w:val="0"/>
          <w:i/>
        </w:rPr>
        <w:t xml:space="preserve"> Covers assessment of programming, data science, and big data competencies; first issued Oct 2019 and renewed in 2023.</w:t>
      </w:r>
    </w:p>
    <w:p>
      <w:pPr>
        <w:pStyle w:val="Heading1"/>
        <w:spacing w:before="160" w:after="40"/>
      </w:pPr>
      <w:r>
        <w:rPr>
          <w:color w:val="1A3C6E"/>
          <w:sz w:val="23"/>
        </w:rPr>
        <w:t>Community Service &amp; Leadership</w:t>
      </w:r>
    </w:p>
    <w:p>
      <w:pPr>
        <w:tabs>
          <w:tab w:pos="10368" w:val="right"/>
        </w:tabs>
        <w:spacing w:before="80" w:after="20"/>
      </w:pPr>
      <w:r>
        <w:rPr>
          <w:b/>
        </w:rPr>
        <w:t>Keluarga Alumni Universitas Gadjah Mada (KAGAMA) — Central Board, Division 2 — Data Centre Department</w:t>
      </w:r>
      <w:r>
        <w:tab/>
        <w:t>Dec 2024 – Dec 2029</w:t>
      </w:r>
    </w:p>
    <w:p>
      <w:pPr>
        <w:spacing w:before="0" w:after="20"/>
      </w:pPr>
      <w:r>
        <w:rPr>
          <w:i/>
          <w:sz w:val="18"/>
        </w:rPr>
        <w:t>Yogyakarta, Indonesia</w:t>
      </w:r>
    </w:p>
    <w:p>
      <w:pPr>
        <w:pStyle w:val="ListBullet"/>
        <w:spacing w:before="0" w:after="20"/>
      </w:pPr>
      <w:r>
        <w:t>Oversee alumni data management, keeping records accurate and integrated across faculties and regions.</w:t>
      </w:r>
    </w:p>
    <w:p>
      <w:pPr>
        <w:pStyle w:val="ListBullet"/>
        <w:spacing w:before="0" w:after="20"/>
      </w:pPr>
      <w:r>
        <w:t>Lead a flagship project to build a standardised, centralised alumni data system improving accessibility, data security, and university–alumni collaboration.</w:t>
      </w:r>
    </w:p>
    <w:p>
      <w:pPr>
        <w:pStyle w:val="Heading1"/>
        <w:spacing w:before="160" w:after="40"/>
      </w:pPr>
      <w:r>
        <w:rPr>
          <w:color w:val="1A3C6E"/>
          <w:sz w:val="23"/>
        </w:rPr>
        <w:t>Honours &amp; Awards</w:t>
      </w:r>
    </w:p>
    <w:p>
      <w:pPr>
        <w:pStyle w:val="ListBullet"/>
        <w:spacing w:before="0" w:after="20"/>
      </w:pPr>
      <w:r>
        <w:rPr>
          <w:b/>
          <w:i w:val="0"/>
        </w:rPr>
        <w:t>LPDP Scholarship (PK-237)</w:t>
      </w:r>
      <w:r>
        <w:rPr>
          <w:b w:val="0"/>
          <w:i w:val="0"/>
        </w:rPr>
        <w:t xml:space="preserve"> — Indonesia Endowment Fund for Education, Ministry of Finance</w:t>
      </w:r>
      <w:r>
        <w:t xml:space="preserve"> (2024–2026)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