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sz w:val="38"/>
        </w:rPr>
        <w:t>Krisostomus Nova Rahmanto</w:t>
      </w:r>
    </w:p>
    <w:p>
      <w:pPr>
        <w:spacing w:before="0" w:after="60"/>
      </w:pPr>
      <w:r>
        <w:rPr>
          <w:color w:val="333333"/>
          <w:sz w:val="22"/>
        </w:rPr>
        <w:t>Data Scientist &amp; Arsitek Data Enterprise</w:t>
      </w:r>
    </w:p>
    <w:p>
      <w:pPr>
        <w:spacing w:before="0" w:after="20"/>
      </w:pPr>
      <w:r>
        <w:rPr>
          <w:sz w:val="19"/>
        </w:rPr>
        <w:t>Yogyakarta, Indonesia | vista.indonesia@gmail.com</w:t>
      </w:r>
    </w:p>
    <w:p>
      <w:pPr>
        <w:spacing w:before="0" w:after="120"/>
      </w:pPr>
      <w:r>
        <w:rPr>
          <w:sz w:val="18"/>
        </w:rPr>
        <w:t>LinkedIn: https://www.linkedin.com/in/krisostomus-nova-rahmanto/ | GitHub: https://github.com/kristonova | Google Scholar: https://scholar.google.com/citations?user=7rBNBX4AAAAJ&amp;hl=en</w:t>
      </w:r>
    </w:p>
    <w:p>
      <w:pPr>
        <w:pStyle w:val="Heading1"/>
        <w:spacing w:before="160" w:after="40"/>
      </w:pPr>
      <w:r>
        <w:rPr>
          <w:color w:val="1A3C6E"/>
          <w:sz w:val="23"/>
        </w:rPr>
        <w:t>Profil Profesional</w:t>
      </w:r>
    </w:p>
    <w:p>
      <w:pPr>
        <w:spacing w:before="0" w:after="60"/>
      </w:pPr>
      <w:r>
        <w:rPr>
          <w:b w:val="0"/>
          <w:i w:val="0"/>
        </w:rPr>
        <w:t>Praktisi Data Science dan Arsitek Data Enterprise dengan pengalaman lebih dari 8 tahun dalam merancang ekosistem data berskala nasional untuk berbagai kementerian, lembaga, dan BUMN di Indonesia. Co-founder &amp; CEO Sadasa Academy (konsultan dan pelatihan analitika data). Lulusan M.Sc. Data Science dari EURECOM Prancis, dengan fokus riset tesis dan magang pada pengembangan solusi LLM untuk High-Performance Computing (HPC). Berpengalaman menyusun arsitektur data berbasis kerangka kerja TOGAF di Kementerian Kesehatan, Dewan Energi Nasional, dan Holding BUMN Farmasi (Bio Farma); serta telah melatih dan menguji kompetensi 340+ ASN, eksekutif, dan mahasiswa.</w:t>
      </w:r>
    </w:p>
    <w:p>
      <w:pPr>
        <w:pStyle w:val="Heading1"/>
        <w:spacing w:before="160" w:after="40"/>
      </w:pPr>
      <w:r>
        <w:rPr>
          <w:color w:val="1A3C6E"/>
          <w:sz w:val="23"/>
        </w:rPr>
        <w:t>Pengalaman Profesional</w:t>
      </w:r>
    </w:p>
    <w:p>
      <w:pPr>
        <w:tabs>
          <w:tab w:pos="10368" w:val="right"/>
        </w:tabs>
        <w:spacing w:before="80" w:after="20"/>
      </w:pPr>
      <w:r>
        <w:rPr>
          <w:b/>
        </w:rPr>
        <w:t>EFISON Lisan Teknologi — HPC &amp; AI Engineer (Magang M.Sc.)</w:t>
      </w:r>
      <w:r>
        <w:tab/>
        <w:t>Feb 2026 – Jul 2026</w:t>
      </w:r>
    </w:p>
    <w:p>
      <w:pPr>
        <w:spacing w:before="0" w:after="20"/>
      </w:pPr>
      <w:r>
        <w:rPr>
          <w:i/>
          <w:sz w:val="18"/>
        </w:rPr>
        <w:t>Indonesia</w:t>
      </w:r>
    </w:p>
    <w:p>
      <w:pPr>
        <w:pStyle w:val="ListBullet"/>
        <w:spacing w:before="0" w:after="20"/>
      </w:pPr>
      <w:r>
        <w:t>Mengembangkan prototipe Large Language Model (LLM) untuk otomatisasi dukungan teknis tingkat pertama (L1 support) bagi pengguna klaster High-Performance Computing (HPC).</w:t>
      </w:r>
    </w:p>
    <w:p>
      <w:pPr>
        <w:pStyle w:val="ListBullet"/>
        <w:spacing w:before="0" w:after="20"/>
      </w:pPr>
      <w:r>
        <w:t>Riset ini dikerjakan sebagai bagian dari tesis M.Sc. di EURECOM di bawah supervisi Simone Rossi.</w:t>
      </w:r>
    </w:p>
    <w:p>
      <w:pPr>
        <w:tabs>
          <w:tab w:pos="10368" w:val="right"/>
        </w:tabs>
        <w:spacing w:before="80" w:after="20"/>
      </w:pPr>
      <w:r>
        <w:rPr>
          <w:b/>
        </w:rPr>
        <w:t>PT Sadasa Akademi Indonesia (Sadasa Academy) — Chief Executive Officer &amp; Co-founder</w:t>
      </w:r>
      <w:r>
        <w:tab/>
        <w:t>Feb 2019 – Saat ini</w:t>
      </w:r>
    </w:p>
    <w:p>
      <w:pPr>
        <w:spacing w:before="0" w:after="20"/>
      </w:pPr>
      <w:r>
        <w:rPr>
          <w:i/>
          <w:sz w:val="18"/>
        </w:rPr>
        <w:t>Yogyakarta, Indonesia</w:t>
      </w:r>
    </w:p>
    <w:p>
      <w:pPr>
        <w:pStyle w:val="ListBullet"/>
        <w:spacing w:before="0" w:after="20"/>
      </w:pPr>
      <w:r>
        <w:t>Mendirikan dan memimpin perusahaan konsultan serta pelatihan analitika data; bertanggung jawab penuh atas arah strategis perusahaan, tata kelola operasional dan finansial, serta pengembangan portofolio produk/layanan.</w:t>
      </w:r>
    </w:p>
    <w:p>
      <w:pPr>
        <w:pStyle w:val="ListBullet"/>
        <w:spacing w:before="0" w:after="20"/>
      </w:pPr>
      <w:r>
        <w:t>Mengembangkan empat pilar layanan utama—pelatihan korporasi, platform video pembelajaran mandiri, konsultasi arsitektur data, dan penyaluran talenta digital—untuk melayani kementerian, BUMN, serta korporasi swasta.</w:t>
      </w:r>
    </w:p>
    <w:p>
      <w:pPr>
        <w:pStyle w:val="ListBullet"/>
        <w:spacing w:before="0" w:after="20"/>
      </w:pPr>
      <w:r>
        <w:t>Membawa perusahaan menjadi mitra dan Tempat Uji Kompetensi (TUK) berlisensi resmi BNSP untuk sertifikasi profesi data science tingkat nasional.</w:t>
      </w:r>
    </w:p>
    <w:p>
      <w:pPr>
        <w:spacing w:before="60" w:after="20"/>
      </w:pPr>
      <w:r>
        <w:rPr>
          <w:i/>
        </w:rPr>
        <w:t>Proyek &amp; Klien Terpilih: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Kementerian Keuangan RI — Direktorat Jenderal Perbendaharaan (DJPb) — Asesor Kompetensi BNSP</w:t>
      </w:r>
      <w:r>
        <w:tab/>
        <w:t>Agu 2023 – Okt 2023</w:t>
      </w:r>
    </w:p>
    <w:p>
      <w:pPr>
        <w:pStyle w:val="ListBullet"/>
        <w:spacing w:before="0" w:after="20"/>
        <w:ind w:left="691"/>
      </w:pPr>
      <w:r>
        <w:t>Menguji dan mengases kompetensi bidang teknologi informasi bagi 183 ASN di lingkungan Direktorat Sistem Informasi dan Teknologi Perbendaharaan (SITP) berdasarkan standar SKKNI.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PT Bio Farma (Persero) — Project Manager &amp; Lead Data Architect</w:t>
      </w:r>
      <w:r>
        <w:tab/>
        <w:t>Mar 2022 – Sep 2022</w:t>
      </w:r>
    </w:p>
    <w:p>
      <w:pPr>
        <w:pStyle w:val="ListBullet"/>
        <w:spacing w:before="0" w:after="20"/>
        <w:ind w:left="691"/>
      </w:pPr>
      <w:r>
        <w:t>Memimpin tim Business Architect dan Data Architect dalam merumuskan arsitektur data terpadu untuk Holding BUMN Farmasi berbasis kerangka kerja TOGAF.</w:t>
      </w:r>
    </w:p>
    <w:p>
      <w:pPr>
        <w:pStyle w:val="ListBullet"/>
        <w:spacing w:before="0" w:after="20"/>
        <w:ind w:left="691"/>
      </w:pPr>
      <w:r>
        <w:t>Menyelenggarakan wawancara kebutuhan data komprehensif bersama 14 entitas anak holding pada 9 rantai nilai bisnis, mulai dari jajaran Direksi hingga level BoD-1 dan BoD-2.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Perumda Air Minum Tirta Khatulistiwa (PDAM Pontianak) — Konsultan Penyusun IT Master Plan</w:t>
      </w:r>
      <w:r>
        <w:tab/>
        <w:t>Apr 2022 – Agu 2022</w:t>
      </w:r>
    </w:p>
    <w:p>
      <w:pPr>
        <w:pStyle w:val="ListBullet"/>
        <w:spacing w:before="0" w:after="20"/>
        <w:ind w:left="691"/>
      </w:pPr>
      <w:r>
        <w:t>Menyusun dokumen IT Master Plan institusi yang mencakup arsitektur bisnis, data, aplikasi, dan teknologi informasi berlandaskan metodologi TOGAF.</w:t>
      </w:r>
    </w:p>
    <w:p>
      <w:pPr>
        <w:pStyle w:val="ListBullet"/>
        <w:spacing w:before="0" w:after="20"/>
        <w:ind w:left="691"/>
      </w:pPr>
      <w:r>
        <w:t>Merumuskan target arsitektur infrastruktur komputasi awan (cloud) bekerja sama dengan tim teknis AWS.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Kementerian Kesehatan Republik Indonesia — Lead Data Architect</w:t>
      </w:r>
      <w:r>
        <w:tab/>
        <w:t>Nov 2021 – Des 2021</w:t>
      </w:r>
    </w:p>
    <w:p>
      <w:pPr>
        <w:pStyle w:val="ListBullet"/>
        <w:spacing w:before="0" w:after="20"/>
        <w:ind w:left="691"/>
      </w:pPr>
      <w:r>
        <w:t>Merancang arsitektur data kementerian berbasis TOGAF, mencakup model data konseptual, model data logis, serta penyusunan katalog data terpadu.</w:t>
      </w:r>
    </w:p>
    <w:p>
      <w:pPr>
        <w:pStyle w:val="ListBullet"/>
        <w:spacing w:before="0" w:after="20"/>
        <w:ind w:left="691"/>
      </w:pPr>
      <w:r>
        <w:t>Berkolaborasi dengan Digital Transformation Office (DTO) Kemenkes, UNDP, dan USAID; dokumen arsitektur diintegrasikan ke dalam Cetak Biru Strategi Transformasi Digital Kesehatan 2024.</w:t>
      </w:r>
    </w:p>
    <w:p>
      <w:pPr>
        <w:pStyle w:val="ListBullet"/>
        <w:spacing w:before="0" w:after="20"/>
        <w:ind w:left="691"/>
      </w:pPr>
      <w:r>
        <w:rPr>
          <w:sz w:val="17"/>
        </w:rPr>
        <w:t>https://dto.kemkes.go.id/Digital-Transformation-Strategy-2024.pdf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Dewan Energi Nasional Republik Indonesia (SINAR) — Data Modeller &amp; Solution Architect</w:t>
      </w:r>
      <w:r>
        <w:tab/>
        <w:t>Nov 2021 – Jul 2022</w:t>
      </w:r>
    </w:p>
    <w:p>
      <w:pPr>
        <w:pStyle w:val="ListBullet"/>
        <w:spacing w:before="0" w:after="20"/>
        <w:ind w:left="691"/>
      </w:pPr>
      <w:r>
        <w:t>Merancang model data energi nasional dan Entity Relationship Diagram (ERD) untuk platform SPEND (Sistem Pemantauan Energi Nasional dan Daerah).</w:t>
      </w:r>
    </w:p>
    <w:p>
      <w:pPr>
        <w:pStyle w:val="ListBullet"/>
        <w:spacing w:before="0" w:after="20"/>
        <w:ind w:left="691"/>
      </w:pPr>
      <w:r>
        <w:t>Penugasan di bawah program konsorsium SINAR bersama USAID, Sekretariat Jenderal Dewan Energi Nasional, dan PT WeSolve Solusi Indonesia.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Komisi Pemberantasan Korupsi (KPK) — Data Analyst &amp; Policy Liaison</w:t>
      </w:r>
      <w:r>
        <w:tab/>
        <w:t>Jun 2020 – Des 2020</w:t>
      </w:r>
    </w:p>
    <w:p>
      <w:pPr>
        <w:pStyle w:val="ListBullet"/>
        <w:spacing w:before="0" w:after="20"/>
        <w:ind w:left="691"/>
      </w:pPr>
      <w:r>
        <w:t>Menyusun kajian dan rekomendasi strategis integrasi data NIK guna meningkatkan akurasi serta ketepatan sasaran bantuan sosial dan subsidi di tiga provinsi percontohan.</w:t>
      </w:r>
    </w:p>
    <w:p>
      <w:pPr>
        <w:pStyle w:val="ListBullet"/>
        <w:spacing w:before="0" w:after="20"/>
        <w:ind w:left="691"/>
      </w:pPr>
      <w:r>
        <w:t>Mempresentasikan hasil analisis data kepada Gubernur dan Sekretaris Daerah, bertindak sebagai komunikator yang menjembatani tim analis data dengan para pengambil kebijakan.</w:t>
      </w:r>
    </w:p>
    <w:p>
      <w:pPr>
        <w:pStyle w:val="Heading1"/>
        <w:spacing w:before="160" w:after="40"/>
      </w:pPr>
      <w:r>
        <w:rPr>
          <w:color w:val="1A3C6E"/>
          <w:sz w:val="23"/>
        </w:rPr>
        <w:t>Pendidikan</w:t>
      </w:r>
    </w:p>
    <w:p>
      <w:pPr>
        <w:tabs>
          <w:tab w:pos="10368" w:val="right"/>
        </w:tabs>
        <w:spacing w:before="80" w:after="20"/>
      </w:pPr>
      <w:r>
        <w:rPr>
          <w:b/>
        </w:rPr>
        <w:t>M.Sc. Ilmu Komputer (Peminatan Data Science) — EURECOM</w:t>
      </w:r>
      <w:r>
        <w:tab/>
        <w:t>Sep 2024 – Jul 2026</w:t>
      </w:r>
    </w:p>
    <w:p>
      <w:pPr>
        <w:spacing w:before="0" w:after="20"/>
      </w:pPr>
      <w:r>
        <w:rPr>
          <w:i/>
          <w:sz w:val="18"/>
        </w:rPr>
        <w:t>Sophia Antipolis, Prancis</w:t>
      </w:r>
    </w:p>
    <w:p>
      <w:pPr>
        <w:pStyle w:val="ListBullet"/>
        <w:spacing w:before="0" w:after="20"/>
      </w:pPr>
      <w:r>
        <w:t>Lulus 29 Juli 2026.</w:t>
      </w:r>
    </w:p>
    <w:p>
      <w:pPr>
        <w:pStyle w:val="ListBullet"/>
        <w:spacing w:before="0" w:after="20"/>
      </w:pPr>
      <w:r>
        <w:t>Tesis: “Development of a Large Language Model (LLM) Prototype for L1 High-Performance Computing (HPC) Support” — Pembimbing: Simone Rossi.</w:t>
      </w:r>
    </w:p>
    <w:p>
      <w:pPr>
        <w:pStyle w:val="ListBullet"/>
        <w:spacing w:before="0" w:after="20"/>
      </w:pPr>
      <w:r>
        <w:t>Fokus studi: Big Data, Data Science, dan Analitika Lanjut.</w:t>
      </w:r>
    </w:p>
    <w:p>
      <w:pPr>
        <w:pStyle w:val="ListBullet"/>
        <w:spacing w:before="0" w:after="20"/>
      </w:pPr>
      <w:r>
        <w:t>Penerima Beasiswa LPDP (PK-237), Lembaga Pengelola Dana Pendidikan, Kementerian Keuangan RI.</w:t>
      </w:r>
    </w:p>
    <w:p>
      <w:pPr>
        <w:tabs>
          <w:tab w:pos="10368" w:val="right"/>
        </w:tabs>
        <w:spacing w:before="80" w:after="20"/>
      </w:pPr>
      <w:r>
        <w:rPr>
          <w:b/>
        </w:rPr>
        <w:t>S.Kom. — Sarjana Ilmu Komputer (Cum Laude) — Universitas Gadjah Mada</w:t>
      </w:r>
      <w:r>
        <w:tab/>
        <w:t>Sep 2013 – Des 2017</w:t>
      </w:r>
    </w:p>
    <w:p>
      <w:pPr>
        <w:spacing w:before="0" w:after="20"/>
      </w:pPr>
      <w:r>
        <w:rPr>
          <w:i/>
          <w:sz w:val="18"/>
        </w:rPr>
        <w:t>Yogyakarta, Indonesia</w:t>
      </w:r>
    </w:p>
    <w:p>
      <w:pPr>
        <w:pStyle w:val="ListBullet"/>
        <w:spacing w:before="0" w:after="20"/>
      </w:pPr>
      <w:r>
        <w:t>IPK: 3,87 / 4,00 (Lulus dengan predikat Cum Laude).</w:t>
      </w:r>
    </w:p>
    <w:p>
      <w:pPr>
        <w:pStyle w:val="ListBullet"/>
        <w:spacing w:before="0" w:after="20"/>
      </w:pPr>
      <w:r>
        <w:t>Skripsi: “Data Preservation Process in Big Data Environment” — Pembimbing: Dr. Mardhani Riasetiawan; dipublikasikan pada IEEE ICST 2018.</w:t>
      </w:r>
    </w:p>
    <w:p>
      <w:pPr>
        <w:pStyle w:val="Heading1"/>
        <w:spacing w:before="160" w:after="40"/>
      </w:pPr>
      <w:r>
        <w:rPr>
          <w:color w:val="1A3C6E"/>
          <w:sz w:val="23"/>
        </w:rPr>
        <w:t>Keahlian Teknis</w:t>
      </w:r>
    </w:p>
    <w:p>
      <w:pPr>
        <w:pStyle w:val="ListBullet"/>
        <w:spacing w:before="0" w:after="20"/>
      </w:pPr>
      <w:r>
        <w:rPr>
          <w:b/>
          <w:i w:val="0"/>
        </w:rPr>
        <w:t xml:space="preserve">Pemrograman: </w:t>
      </w:r>
      <w:r>
        <w:rPr>
          <w:b w:val="0"/>
          <w:i w:val="0"/>
        </w:rPr>
        <w:t>Python, R, C++, SQL</w:t>
      </w:r>
    </w:p>
    <w:p>
      <w:pPr>
        <w:pStyle w:val="ListBullet"/>
        <w:spacing w:before="0" w:after="20"/>
      </w:pPr>
      <w:r>
        <w:rPr>
          <w:b/>
          <w:i w:val="0"/>
        </w:rPr>
        <w:t xml:space="preserve">Machine Learning &amp; AI: </w:t>
      </w:r>
      <w:r>
        <w:rPr>
          <w:b w:val="0"/>
          <w:i w:val="0"/>
        </w:rPr>
        <w:t>scikit-learn, TensorFlow, spaCy, Large Language Models (LLM), Self-Organizing Maps</w:t>
      </w:r>
    </w:p>
    <w:p>
      <w:pPr>
        <w:pStyle w:val="ListBullet"/>
        <w:spacing w:before="0" w:after="20"/>
      </w:pPr>
      <w:r>
        <w:rPr>
          <w:b/>
          <w:i w:val="0"/>
        </w:rPr>
        <w:t xml:space="preserve">Big Data &amp; HPC: </w:t>
      </w:r>
      <w:r>
        <w:rPr>
          <w:b w:val="0"/>
          <w:i w:val="0"/>
        </w:rPr>
        <w:t>Hadoop (HDFS, MapReduce, YARN), Apache Spark, Apache Solr, High-Performance Computing (HPC)</w:t>
      </w:r>
    </w:p>
    <w:p>
      <w:pPr>
        <w:pStyle w:val="ListBullet"/>
        <w:spacing w:before="0" w:after="20"/>
      </w:pPr>
      <w:r>
        <w:rPr>
          <w:b/>
          <w:i w:val="0"/>
        </w:rPr>
        <w:t xml:space="preserve">Arsitektur Data &amp; Enterprise: </w:t>
      </w:r>
      <w:r>
        <w:rPr>
          <w:b w:val="0"/>
          <w:i w:val="0"/>
        </w:rPr>
        <w:t>TOGAF, Conceptual &amp; logical data modelling, Entity-relationship design, Data cataloguing</w:t>
      </w:r>
    </w:p>
    <w:p>
      <w:pPr>
        <w:pStyle w:val="ListBullet"/>
        <w:spacing w:before="0" w:after="20"/>
      </w:pPr>
      <w:r>
        <w:rPr>
          <w:b/>
          <w:i w:val="0"/>
        </w:rPr>
        <w:t xml:space="preserve">Metodologi &amp; Standar: </w:t>
      </w:r>
      <w:r>
        <w:rPr>
          <w:b w:val="0"/>
          <w:i w:val="0"/>
        </w:rPr>
        <w:t>CRISP-DM, ISO/IEC 27001, ISO 14721 (OAIS), SKKNI competency assessment, Agile, Scrum</w:t>
      </w:r>
    </w:p>
    <w:p>
      <w:pPr>
        <w:pStyle w:val="ListBullet"/>
        <w:spacing w:before="0" w:after="20"/>
      </w:pPr>
      <w:r>
        <w:rPr>
          <w:b/>
          <w:i w:val="0"/>
        </w:rPr>
        <w:t xml:space="preserve">Visualisasi &amp; Cloud: </w:t>
      </w:r>
      <w:r>
        <w:rPr>
          <w:b w:val="0"/>
          <w:i w:val="0"/>
        </w:rPr>
        <w:t>Tableau, CARTO, AWS</w:t>
      </w:r>
    </w:p>
    <w:p>
      <w:pPr>
        <w:pStyle w:val="Heading1"/>
        <w:spacing w:before="160" w:after="40"/>
      </w:pPr>
      <w:r>
        <w:rPr>
          <w:color w:val="1A3C6E"/>
          <w:sz w:val="23"/>
        </w:rPr>
        <w:t>Kemampuan Bahasa</w:t>
      </w:r>
    </w:p>
    <w:p>
      <w:pPr>
        <w:pStyle w:val="ListBullet"/>
        <w:spacing w:before="0" w:after="20"/>
      </w:pPr>
      <w:r>
        <w:rPr>
          <w:b/>
          <w:i w:val="0"/>
        </w:rPr>
        <w:t xml:space="preserve">Bahasa Indonesia: </w:t>
      </w:r>
      <w:r>
        <w:rPr>
          <w:b w:val="0"/>
          <w:i w:val="0"/>
        </w:rPr>
        <w:t>Penutur Asli</w:t>
      </w:r>
    </w:p>
    <w:p>
      <w:pPr>
        <w:pStyle w:val="ListBullet"/>
        <w:spacing w:before="0" w:after="20"/>
      </w:pPr>
      <w:r>
        <w:rPr>
          <w:b/>
          <w:i w:val="0"/>
        </w:rPr>
        <w:t xml:space="preserve">Bahasa Inggris: </w:t>
      </w:r>
      <w:r>
        <w:rPr>
          <w:b w:val="0"/>
          <w:i w:val="0"/>
        </w:rPr>
        <w:t>Kemampuan Kerja Profesional</w:t>
      </w:r>
      <w:r>
        <w:rPr>
          <w:b w:val="0"/>
          <w:i w:val="0"/>
        </w:rPr>
        <w:t xml:space="preserve"> — IELTS Academic 6.5 — Listening 7.0 · Reading 7.5 · Writing 6.0 · Speaking 6.0</w:t>
      </w:r>
    </w:p>
    <w:p>
      <w:pPr>
        <w:pStyle w:val="ListBullet"/>
        <w:spacing w:before="0" w:after="20"/>
      </w:pPr>
      <w:r>
        <w:rPr>
          <w:b/>
          <w:i w:val="0"/>
        </w:rPr>
        <w:t xml:space="preserve">Bahasa Prancis: </w:t>
      </w:r>
      <w:r>
        <w:rPr>
          <w:b w:val="0"/>
          <w:i w:val="0"/>
        </w:rPr>
        <w:t>B1 (CEFR)</w:t>
      </w:r>
      <w:r>
        <w:rPr>
          <w:b w:val="0"/>
          <w:i w:val="0"/>
        </w:rPr>
        <w:t xml:space="preserve"> — TCF — compréhension orale 312 · maîtrise des structures de la langue 346 · compréhension écrite 369</w:t>
      </w:r>
    </w:p>
    <w:p>
      <w:pPr>
        <w:pStyle w:val="Heading1"/>
        <w:spacing w:before="160" w:after="40"/>
      </w:pPr>
      <w:r>
        <w:rPr>
          <w:color w:val="1A3C6E"/>
          <w:sz w:val="23"/>
        </w:rPr>
        <w:t>Publikasi Ilmiah</w:t>
      </w:r>
    </w:p>
    <w:p>
      <w:pPr>
        <w:pStyle w:val="ListBullet"/>
        <w:spacing w:before="0" w:after="20"/>
      </w:pPr>
      <w:r>
        <w:rPr>
          <w:b w:val="0"/>
          <w:i w:val="0"/>
        </w:rPr>
        <w:t>Rahmanto, K. N., &amp; Riasetiawan, M. (2018). “Data Preservation Process in Big Data Environment using Open Archival Information System.” Proceedings of the 4th International Conference on Science and Technology (ICST), IEEE, pp. 1–6. DOI: 10.1109/ICSTC.2018.8528669.</w:t>
      </w:r>
      <w:r>
        <w:rPr>
          <w:sz w:val="17"/>
        </w:rPr>
        <w:t xml:space="preserve"> https://ieeexplore.ieee.org/document/8528669</w:t>
      </w:r>
    </w:p>
    <w:p>
      <w:pPr>
        <w:pStyle w:val="Heading1"/>
        <w:spacing w:before="160" w:after="40"/>
      </w:pPr>
      <w:r>
        <w:rPr>
          <w:color w:val="1A3C6E"/>
          <w:sz w:val="23"/>
        </w:rPr>
        <w:t>Sertifikasi Profesi</w:t>
      </w:r>
    </w:p>
    <w:p>
      <w:pPr>
        <w:pStyle w:val="ListBullet"/>
        <w:spacing w:before="0" w:after="20"/>
      </w:pPr>
      <w:r>
        <w:rPr>
          <w:b/>
          <w:i w:val="0"/>
        </w:rPr>
        <w:t>Sertifikat Kompetensi Data Science — Big Data Scientist</w:t>
      </w:r>
      <w:r>
        <w:rPr>
          <w:b w:val="0"/>
          <w:i w:val="0"/>
        </w:rPr>
        <w:t xml:space="preserve"> — Badan Nasional Sertifikasi Profesi (BNSP), No. Reg. TIK.1565.05386 2021</w:t>
      </w:r>
      <w:r>
        <w:rPr>
          <w:b w:val="0"/>
          <w:i w:val="0"/>
        </w:rPr>
        <w:t xml:space="preserve"> (terbit Sep 2021, 3y, kedaluwarsa)</w:t>
      </w:r>
    </w:p>
    <w:p>
      <w:pPr>
        <w:pStyle w:val="ListBullet"/>
        <w:spacing w:before="0" w:after="20"/>
      </w:pPr>
      <w:r>
        <w:rPr>
          <w:b/>
          <w:i w:val="0"/>
        </w:rPr>
        <w:t>Sertifikat Kompetensi Asesor Tempat Kerja (Bidang TI)</w:t>
      </w:r>
      <w:r>
        <w:rPr>
          <w:b w:val="0"/>
          <w:i w:val="0"/>
        </w:rPr>
        <w:t xml:space="preserve"> — Badan Nasional Sertifikasi Profesi (BNSP), No. Reg. MET.000.005057 2019</w:t>
      </w:r>
      <w:r>
        <w:rPr>
          <w:b w:val="0"/>
          <w:i w:val="0"/>
        </w:rPr>
        <w:t xml:space="preserve"> (terbit Mar 2023, 3y, kedaluwarsa)</w:t>
      </w:r>
      <w:r>
        <w:rPr>
          <w:b w:val="0"/>
          <w:i/>
        </w:rPr>
        <w:t xml:space="preserve"> Kualifikasi penguji untuk asesmen kompetensi pemrograman, data science, dan big data; pertama kali terbit Okt 2019 dan diperpanjang pada 2023.</w:t>
      </w:r>
    </w:p>
    <w:p>
      <w:pPr>
        <w:pStyle w:val="Heading1"/>
        <w:spacing w:before="160" w:after="40"/>
      </w:pPr>
      <w:r>
        <w:rPr>
          <w:color w:val="1A3C6E"/>
          <w:sz w:val="23"/>
        </w:rPr>
        <w:t>Organisasi &amp; Pengabdian Masyarakat</w:t>
      </w:r>
    </w:p>
    <w:p>
      <w:pPr>
        <w:tabs>
          <w:tab w:pos="10368" w:val="right"/>
        </w:tabs>
        <w:spacing w:before="80" w:after="20"/>
      </w:pPr>
      <w:r>
        <w:rPr>
          <w:b/>
        </w:rPr>
        <w:t>Keluarga Alumni Universitas Gadjah Mada (KAGAMA) — Pengurus Pusat Bidang 2 — Departemen Pusat Data</w:t>
      </w:r>
      <w:r>
        <w:tab/>
        <w:t>Des 2024 – Des 2029</w:t>
      </w:r>
    </w:p>
    <w:p>
      <w:pPr>
        <w:spacing w:before="0" w:after="20"/>
      </w:pPr>
      <w:r>
        <w:rPr>
          <w:i/>
          <w:sz w:val="18"/>
        </w:rPr>
        <w:t>Yogyakarta, Indonesia</w:t>
      </w:r>
    </w:p>
    <w:p>
      <w:pPr>
        <w:pStyle w:val="ListBullet"/>
        <w:spacing w:before="0" w:after="20"/>
      </w:pPr>
      <w:r>
        <w:t>Mengawal tata kelola dan integrasi data alumni UGM agar akurat dan terpadu lintas fakultas dan pengurus daerah di seluruh Indonesia.</w:t>
      </w:r>
    </w:p>
    <w:p>
      <w:pPr>
        <w:pStyle w:val="ListBullet"/>
        <w:spacing w:before="0" w:after="20"/>
      </w:pPr>
      <w:r>
        <w:t>Memimpin proyek strategis pembangunan sistem database alumni terpusat dan terstandar guna meningkatkan keandalan data, keamanan informasi, serta memperkuat jejaring kolaborasi universitas–alumni.</w:t>
      </w:r>
    </w:p>
    <w:p>
      <w:pPr>
        <w:pStyle w:val="Heading1"/>
        <w:spacing w:before="160" w:after="40"/>
      </w:pPr>
      <w:r>
        <w:rPr>
          <w:color w:val="1A3C6E"/>
          <w:sz w:val="23"/>
        </w:rPr>
        <w:t>Penghargaan &amp; Beasiswa</w:t>
      </w:r>
    </w:p>
    <w:p>
      <w:pPr>
        <w:pStyle w:val="ListBullet"/>
        <w:spacing w:before="0" w:after="20"/>
      </w:pPr>
      <w:r>
        <w:rPr>
          <w:b/>
          <w:i w:val="0"/>
        </w:rPr>
        <w:t>Beasiswa LPDP (PK-237)</w:t>
      </w:r>
      <w:r>
        <w:rPr>
          <w:b w:val="0"/>
          <w:i w:val="0"/>
        </w:rPr>
        <w:t xml:space="preserve"> — Lembaga Pengelola Dana Pendidikan, Kementerian Keuangan RI</w:t>
      </w:r>
      <w:r>
        <w:t xml:space="preserve"> (2024–2026)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