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Make Data Count – Flowchart (Non-Technical)</w:t>
      </w:r>
    </w:p>
    <w:p>
      <w:pPr>
        <w:jc w:val="center"/>
      </w:pPr>
      <w:r>
        <w:t>A simple, colored flow for non-technical readers. The diagram below is followed by an editable table version.</w:t>
      </w:r>
    </w:p>
    <w:p>
      <w:r>
        <w:drawing>
          <wp:inline xmlns:a="http://schemas.openxmlformats.org/drawingml/2006/main" xmlns:pic="http://schemas.openxmlformats.org/drawingml/2006/picture">
            <wp:extent cx="6217920" cy="34662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DC_flowchart_e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66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1: End-to-end process at a glance.</w:t>
      </w:r>
    </w:p>
    <w:p>
      <w:r>
        <w:br w:type="page"/>
      </w:r>
    </w:p>
    <w:p>
      <w:pPr>
        <w:pStyle w:val="Heading2"/>
      </w:pPr>
      <w:r>
        <w:t>Editable Flow (Table Version)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sz w:val="22"/>
              </w:rPr>
              <w:t>Step</w:t>
            </w:r>
          </w:p>
        </w:tc>
        <w:tc>
          <w:tcPr>
            <w:tcW w:type="dxa" w:w="2880"/>
          </w:tcPr>
          <w:p>
            <w:r>
              <w:rPr>
                <w:b/>
                <w:sz w:val="22"/>
              </w:rPr>
              <w:t>What Happens</w:t>
            </w:r>
          </w:p>
        </w:tc>
        <w:tc>
          <w:tcPr>
            <w:tcW w:type="dxa" w:w="2880"/>
          </w:tcPr>
          <w:p>
            <w:r>
              <w:rPr>
                <w:b/>
                <w:sz w:val="22"/>
              </w:rPr>
              <w:t>Why It Matters (Plain English)</w:t>
            </w:r>
          </w:p>
        </w:tc>
      </w:tr>
      <w:tr>
        <w:tc>
          <w:tcPr>
            <w:tcW w:type="dxa" w:w="2880"/>
            <w:shd w:fill="DFF1FF"/>
          </w:tcPr>
          <w:p>
            <w:r>
              <w:rPr>
                <w:sz w:val="21"/>
              </w:rPr>
              <w:t>1</w:t>
            </w:r>
          </w:p>
        </w:tc>
        <w:tc>
          <w:tcPr>
            <w:tcW w:type="dxa" w:w="2880"/>
            <w:shd w:fill="DFF1FF"/>
          </w:tcPr>
          <w:p>
            <w:r>
              <w:rPr>
                <w:sz w:val="21"/>
              </w:rPr>
              <w:t>Pick Competition</w:t>
            </w:r>
          </w:p>
        </w:tc>
        <w:tc>
          <w:tcPr>
            <w:tcW w:type="dxa" w:w="2880"/>
            <w:shd w:fill="DFF1FF"/>
          </w:tcPr>
          <w:p>
            <w:r>
              <w:rPr>
                <w:sz w:val="21"/>
              </w:rPr>
              <w:t>Choose 'Make Data Count – Finding Data References' on Kaggle.</w:t>
            </w:r>
          </w:p>
        </w:tc>
      </w:tr>
      <w:tr>
        <w:tc>
          <w:tcPr>
            <w:tcW w:type="dxa" w:w="2880"/>
            <w:shd w:fill="E8F8E8"/>
          </w:tcPr>
          <w:p>
            <w:r>
              <w:rPr>
                <w:sz w:val="21"/>
              </w:rPr>
              <w:t>2</w:t>
            </w:r>
          </w:p>
        </w:tc>
        <w:tc>
          <w:tcPr>
            <w:tcW w:type="dxa" w:w="2880"/>
            <w:shd w:fill="E8F8E8"/>
          </w:tcPr>
          <w:p>
            <w:r>
              <w:rPr>
                <w:sz w:val="21"/>
              </w:rPr>
              <w:t>Understand Goal</w:t>
            </w:r>
          </w:p>
        </w:tc>
        <w:tc>
          <w:tcPr>
            <w:tcW w:type="dxa" w:w="2880"/>
            <w:shd w:fill="E8F8E8"/>
          </w:tcPr>
          <w:p>
            <w:r>
              <w:rPr>
                <w:sz w:val="21"/>
              </w:rPr>
              <w:t>Identify dataset mentions in research articles and classify them as Primary, Secondary, or Missing.</w:t>
            </w:r>
          </w:p>
        </w:tc>
      </w:tr>
      <w:tr>
        <w:tc>
          <w:tcPr>
            <w:tcW w:type="dxa" w:w="2880"/>
            <w:shd w:fill="FFEEDD"/>
          </w:tcPr>
          <w:p>
            <w:r>
              <w:rPr>
                <w:sz w:val="21"/>
              </w:rPr>
              <w:t>3</w:t>
            </w:r>
          </w:p>
        </w:tc>
        <w:tc>
          <w:tcPr>
            <w:tcW w:type="dxa" w:w="2880"/>
            <w:shd w:fill="FFEEDD"/>
          </w:tcPr>
          <w:p>
            <w:r>
              <w:rPr>
                <w:sz w:val="21"/>
              </w:rPr>
              <w:t>Get the Data</w:t>
            </w:r>
          </w:p>
        </w:tc>
        <w:tc>
          <w:tcPr>
            <w:tcW w:type="dxa" w:w="2880"/>
            <w:shd w:fill="FFEEDD"/>
          </w:tcPr>
          <w:p>
            <w:r>
              <w:rPr>
                <w:sz w:val="21"/>
              </w:rPr>
              <w:t>Use the labels file (train_labels.csv) and the article files (XML).</w:t>
            </w:r>
          </w:p>
        </w:tc>
      </w:tr>
      <w:tr>
        <w:tc>
          <w:tcPr>
            <w:tcW w:type="dxa" w:w="2880"/>
            <w:shd w:fill="EFE1FF"/>
          </w:tcPr>
          <w:p>
            <w:r>
              <w:rPr>
                <w:sz w:val="21"/>
              </w:rPr>
              <w:t>4</w:t>
            </w:r>
          </w:p>
        </w:tc>
        <w:tc>
          <w:tcPr>
            <w:tcW w:type="dxa" w:w="2880"/>
            <w:shd w:fill="EFE1FF"/>
          </w:tcPr>
          <w:p>
            <w:r>
              <w:rPr>
                <w:sz w:val="21"/>
              </w:rPr>
              <w:t>Find Mentions</w:t>
            </w:r>
          </w:p>
        </w:tc>
        <w:tc>
          <w:tcPr>
            <w:tcW w:type="dxa" w:w="2880"/>
            <w:shd w:fill="EFE1FF"/>
          </w:tcPr>
          <w:p>
            <w:r>
              <w:rPr>
                <w:sz w:val="21"/>
              </w:rPr>
              <w:t>Scan the article text to spot dataset identifiers like DOIs or accessions using simple patterns.</w:t>
            </w:r>
          </w:p>
        </w:tc>
      </w:tr>
      <w:tr>
        <w:tc>
          <w:tcPr>
            <w:tcW w:type="dxa" w:w="2880"/>
            <w:shd w:fill="FFD9EA"/>
          </w:tcPr>
          <w:p>
            <w:r>
              <w:rPr>
                <w:sz w:val="21"/>
              </w:rPr>
              <w:t>5</w:t>
            </w:r>
          </w:p>
        </w:tc>
        <w:tc>
          <w:tcPr>
            <w:tcW w:type="dxa" w:w="2880"/>
            <w:shd w:fill="FFD9EA"/>
          </w:tcPr>
          <w:p>
            <w:r>
              <w:rPr>
                <w:sz w:val="21"/>
              </w:rPr>
              <w:t>Build Context</w:t>
            </w:r>
          </w:p>
        </w:tc>
        <w:tc>
          <w:tcPr>
            <w:tcW w:type="dxa" w:w="2880"/>
            <w:shd w:fill="FFD9EA"/>
          </w:tcPr>
          <w:p>
            <w:r>
              <w:rPr>
                <w:sz w:val="21"/>
              </w:rPr>
              <w:t>Keep the surrounding sentence for each mention. Remove very short or unclear text.</w:t>
            </w:r>
          </w:p>
        </w:tc>
      </w:tr>
      <w:tr>
        <w:tc>
          <w:tcPr>
            <w:tcW w:type="dxa" w:w="2880"/>
            <w:shd w:fill="DFF1FF"/>
          </w:tcPr>
          <w:p>
            <w:r>
              <w:rPr>
                <w:sz w:val="21"/>
              </w:rPr>
              <w:t>6</w:t>
            </w:r>
          </w:p>
        </w:tc>
        <w:tc>
          <w:tcPr>
            <w:tcW w:type="dxa" w:w="2880"/>
            <w:shd w:fill="DFF1FF"/>
          </w:tcPr>
          <w:p>
            <w:r>
              <w:rPr>
                <w:sz w:val="21"/>
              </w:rPr>
              <w:t>Turn Text into Numbers</w:t>
            </w:r>
          </w:p>
        </w:tc>
        <w:tc>
          <w:tcPr>
            <w:tcW w:type="dxa" w:w="2880"/>
            <w:shd w:fill="DFF1FF"/>
          </w:tcPr>
          <w:p>
            <w:r>
              <w:rPr>
                <w:sz w:val="21"/>
              </w:rPr>
              <w:t>Use TF‑IDF to convert words into numeric features the model can learn from.</w:t>
            </w:r>
          </w:p>
        </w:tc>
      </w:tr>
      <w:tr>
        <w:tc>
          <w:tcPr>
            <w:tcW w:type="dxa" w:w="2880"/>
            <w:shd w:fill="E8F8E8"/>
          </w:tcPr>
          <w:p>
            <w:r>
              <w:rPr>
                <w:sz w:val="21"/>
              </w:rPr>
              <w:t>7</w:t>
            </w:r>
          </w:p>
        </w:tc>
        <w:tc>
          <w:tcPr>
            <w:tcW w:type="dxa" w:w="2880"/>
            <w:shd w:fill="E8F8E8"/>
          </w:tcPr>
          <w:p>
            <w:r>
              <w:rPr>
                <w:sz w:val="21"/>
              </w:rPr>
              <w:t>Train the Model</w:t>
            </w:r>
          </w:p>
        </w:tc>
        <w:tc>
          <w:tcPr>
            <w:tcW w:type="dxa" w:w="2880"/>
            <w:shd w:fill="E8F8E8"/>
          </w:tcPr>
          <w:p>
            <w:r>
              <w:rPr>
                <w:sz w:val="21"/>
              </w:rPr>
              <w:t>Fit a simple, reliable classifier (Logistic Regression) and balance the classes.</w:t>
            </w:r>
          </w:p>
        </w:tc>
      </w:tr>
      <w:tr>
        <w:tc>
          <w:tcPr>
            <w:tcW w:type="dxa" w:w="2880"/>
            <w:shd w:fill="FFEEDD"/>
          </w:tcPr>
          <w:p>
            <w:r>
              <w:rPr>
                <w:sz w:val="21"/>
              </w:rPr>
              <w:t>8</w:t>
            </w:r>
          </w:p>
        </w:tc>
        <w:tc>
          <w:tcPr>
            <w:tcW w:type="dxa" w:w="2880"/>
            <w:shd w:fill="FFEEDD"/>
          </w:tcPr>
          <w:p>
            <w:r>
              <w:rPr>
                <w:sz w:val="21"/>
              </w:rPr>
              <w:t>Check Performance</w:t>
            </w:r>
          </w:p>
        </w:tc>
        <w:tc>
          <w:tcPr>
            <w:tcW w:type="dxa" w:w="2880"/>
            <w:shd w:fill="FFEEDD"/>
          </w:tcPr>
          <w:p>
            <w:r>
              <w:rPr>
                <w:sz w:val="21"/>
              </w:rPr>
              <w:t>Measure Precision, Recall and F1 (macro) so all classes matter equally.</w:t>
            </w:r>
          </w:p>
        </w:tc>
      </w:tr>
      <w:tr>
        <w:tc>
          <w:tcPr>
            <w:tcW w:type="dxa" w:w="2880"/>
            <w:shd w:fill="EFE1FF"/>
          </w:tcPr>
          <w:p>
            <w:r>
              <w:rPr>
                <w:sz w:val="21"/>
              </w:rPr>
              <w:t>9</w:t>
            </w:r>
          </w:p>
        </w:tc>
        <w:tc>
          <w:tcPr>
            <w:tcW w:type="dxa" w:w="2880"/>
            <w:shd w:fill="EFE1FF"/>
          </w:tcPr>
          <w:p>
            <w:r>
              <w:rPr>
                <w:sz w:val="21"/>
              </w:rPr>
              <w:t>Process Test Articles</w:t>
            </w:r>
          </w:p>
        </w:tc>
        <w:tc>
          <w:tcPr>
            <w:tcW w:type="dxa" w:w="2880"/>
            <w:shd w:fill="EFE1FF"/>
          </w:tcPr>
          <w:p>
            <w:r>
              <w:rPr>
                <w:sz w:val="21"/>
              </w:rPr>
              <w:t>Find mentions in test XML files just like before.</w:t>
            </w:r>
          </w:p>
        </w:tc>
      </w:tr>
      <w:tr>
        <w:tc>
          <w:tcPr>
            <w:tcW w:type="dxa" w:w="2880"/>
            <w:shd w:fill="FFD9EA"/>
          </w:tcPr>
          <w:p>
            <w:r>
              <w:rPr>
                <w:sz w:val="21"/>
              </w:rPr>
              <w:t>10</w:t>
            </w:r>
          </w:p>
        </w:tc>
        <w:tc>
          <w:tcPr>
            <w:tcW w:type="dxa" w:w="2880"/>
            <w:shd w:fill="FFD9EA"/>
          </w:tcPr>
          <w:p>
            <w:r>
              <w:rPr>
                <w:sz w:val="21"/>
              </w:rPr>
              <w:t>Predict Labels</w:t>
            </w:r>
          </w:p>
        </w:tc>
        <w:tc>
          <w:tcPr>
            <w:tcW w:type="dxa" w:w="2880"/>
            <w:shd w:fill="FFD9EA"/>
          </w:tcPr>
          <w:p>
            <w:r>
              <w:rPr>
                <w:sz w:val="21"/>
              </w:rPr>
              <w:t>Use the model to label each mention as Primary, Secondary, or Missing.</w:t>
            </w:r>
          </w:p>
        </w:tc>
      </w:tr>
      <w:tr>
        <w:tc>
          <w:tcPr>
            <w:tcW w:type="dxa" w:w="2880"/>
            <w:shd w:fill="DFF1FF"/>
          </w:tcPr>
          <w:p>
            <w:r>
              <w:rPr>
                <w:sz w:val="21"/>
              </w:rPr>
              <w:t>11</w:t>
            </w:r>
          </w:p>
        </w:tc>
        <w:tc>
          <w:tcPr>
            <w:tcW w:type="dxa" w:w="2880"/>
            <w:shd w:fill="DFF1FF"/>
          </w:tcPr>
          <w:p>
            <w:r>
              <w:rPr>
                <w:sz w:val="21"/>
              </w:rPr>
              <w:t>Create Submission</w:t>
            </w:r>
          </w:p>
        </w:tc>
        <w:tc>
          <w:tcPr>
            <w:tcW w:type="dxa" w:w="2880"/>
            <w:shd w:fill="DFF1FF"/>
          </w:tcPr>
          <w:p>
            <w:r>
              <w:rPr>
                <w:sz w:val="21"/>
              </w:rPr>
              <w:t>Write submission.csv with row_id, article_id, dataset_id, type and upload to Kaggle.</w:t>
            </w:r>
          </w:p>
        </w:tc>
      </w:tr>
    </w:tbl>
    <w:p>
      <w:r>
        <w:br/>
        <w:t>Tip: You can edit this table directly in Word or copy it to slides.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