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A03F7" w14:textId="0D7B4EA8" w:rsidR="005B3D59" w:rsidRPr="005B3D59" w:rsidRDefault="005B3D59" w:rsidP="005B3D59">
      <w:pPr>
        <w:spacing w:line="240" w:lineRule="auto"/>
        <w:rPr>
          <w:rFonts w:ascii="Times New Roman" w:hAnsi="Times New Roman" w:cs="Times New Roman"/>
          <w:b/>
          <w:bCs/>
        </w:rPr>
      </w:pPr>
      <w:r w:rsidRPr="005B3D59">
        <w:rPr>
          <w:rFonts w:ascii="Times New Roman" w:hAnsi="Times New Roman" w:cs="Times New Roman"/>
          <w:b/>
          <w:bCs/>
        </w:rPr>
        <w:t>New tractability columns description</w:t>
      </w:r>
    </w:p>
    <w:p w14:paraId="68B3DD72" w14:textId="22E5D25D" w:rsidR="005B3D59" w:rsidRPr="005B3D59" w:rsidRDefault="005B3D59" w:rsidP="005B3D59">
      <w:pPr>
        <w:spacing w:line="240" w:lineRule="auto"/>
        <w:rPr>
          <w:rFonts w:ascii="Times New Roman" w:hAnsi="Times New Roman" w:cs="Times New Roman"/>
        </w:rPr>
      </w:pPr>
      <w:r w:rsidRPr="005B3D59">
        <w:rPr>
          <w:rFonts w:ascii="Times New Roman" w:hAnsi="Times New Roman" w:cs="Times New Roman"/>
        </w:rPr>
        <w:t>Kristy Carpenter</w:t>
      </w:r>
    </w:p>
    <w:p w14:paraId="2BDBCDB3" w14:textId="62B97502" w:rsidR="005B3D59" w:rsidRPr="005B3D59" w:rsidRDefault="005B3D59" w:rsidP="005B3D59">
      <w:pPr>
        <w:spacing w:line="240" w:lineRule="auto"/>
        <w:rPr>
          <w:rFonts w:ascii="Times New Roman" w:hAnsi="Times New Roman" w:cs="Times New Roman"/>
        </w:rPr>
      </w:pPr>
      <w:r w:rsidRPr="005B3D59">
        <w:rPr>
          <w:rFonts w:ascii="Times New Roman" w:hAnsi="Times New Roman" w:cs="Times New Roman"/>
        </w:rPr>
        <w:t>May 14, 2025</w:t>
      </w:r>
    </w:p>
    <w:p w14:paraId="1EDE3C94" w14:textId="77777777" w:rsidR="005B3D59" w:rsidRDefault="005B3D59">
      <w:pPr>
        <w:rPr>
          <w:rFonts w:ascii="Times New Roman" w:hAnsi="Times New Roman" w:cs="Times New Roman"/>
        </w:rPr>
      </w:pPr>
    </w:p>
    <w:p w14:paraId="5B920B75" w14:textId="175239E2" w:rsidR="005B3D59" w:rsidRPr="005B3D59" w:rsidRDefault="005B3D59">
      <w:pPr>
        <w:rPr>
          <w:rFonts w:ascii="Courier New" w:hAnsi="Courier New" w:cs="Courier New"/>
        </w:rPr>
      </w:pPr>
      <w:proofErr w:type="spellStart"/>
      <w:r w:rsidRPr="005B3D59">
        <w:rPr>
          <w:rFonts w:ascii="Courier New" w:hAnsi="Courier New" w:cs="Courier New"/>
        </w:rPr>
        <w:t>has_pdb_structure</w:t>
      </w:r>
      <w:proofErr w:type="spellEnd"/>
    </w:p>
    <w:p w14:paraId="39A35048" w14:textId="70C2C352" w:rsidR="005B3D59" w:rsidRDefault="005B3D59">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Ensembl</w:t>
      </w:r>
      <w:proofErr w:type="spellEnd"/>
      <w:r>
        <w:rPr>
          <w:rFonts w:ascii="Times New Roman" w:hAnsi="Times New Roman" w:cs="Times New Roman"/>
        </w:rPr>
        <w:t xml:space="preserve"> id</w:t>
      </w:r>
    </w:p>
    <w:p w14:paraId="7F633855" w14:textId="6E780003" w:rsidR="005B3D59" w:rsidRDefault="005B3D59">
      <w:pPr>
        <w:rPr>
          <w:rFonts w:ascii="Times New Roman" w:hAnsi="Times New Roman" w:cs="Times New Roman"/>
        </w:rPr>
      </w:pPr>
      <w:r>
        <w:rPr>
          <w:rFonts w:ascii="Times New Roman" w:hAnsi="Times New Roman" w:cs="Times New Roman"/>
        </w:rPr>
        <w:t xml:space="preserve">Output: 1 if there is an </w:t>
      </w:r>
      <w:proofErr w:type="gramStart"/>
      <w:r>
        <w:rPr>
          <w:rFonts w:ascii="Times New Roman" w:hAnsi="Times New Roman" w:cs="Times New Roman"/>
        </w:rPr>
        <w:t>experimentally-determined</w:t>
      </w:r>
      <w:proofErr w:type="gramEnd"/>
      <w:r>
        <w:rPr>
          <w:rFonts w:ascii="Times New Roman" w:hAnsi="Times New Roman" w:cs="Times New Roman"/>
        </w:rPr>
        <w:t xml:space="preserve"> structure for this target, otherwise None</w:t>
      </w:r>
    </w:p>
    <w:p w14:paraId="495F1AC6" w14:textId="69AD4C61" w:rsidR="005B3D59" w:rsidRDefault="005B3D59">
      <w:pPr>
        <w:rPr>
          <w:rFonts w:ascii="Times New Roman" w:hAnsi="Times New Roman" w:cs="Times New Roman"/>
        </w:rPr>
      </w:pPr>
      <w:r>
        <w:rPr>
          <w:rFonts w:ascii="Times New Roman" w:hAnsi="Times New Roman" w:cs="Times New Roman"/>
        </w:rPr>
        <w:t>Source:</w:t>
      </w:r>
      <w:r w:rsidR="004B4A31">
        <w:rPr>
          <w:rFonts w:ascii="Times New Roman" w:hAnsi="Times New Roman" w:cs="Times New Roman"/>
        </w:rPr>
        <w:t xml:space="preserve"> </w:t>
      </w:r>
      <w:hyperlink r:id="rId4" w:history="1">
        <w:r w:rsidR="004B4A31" w:rsidRPr="004B4A31">
          <w:rPr>
            <w:rStyle w:val="Hyperlink"/>
            <w:rFonts w:ascii="Times New Roman" w:hAnsi="Times New Roman" w:cs="Times New Roman"/>
          </w:rPr>
          <w:t>Protein Data Bank</w:t>
        </w:r>
      </w:hyperlink>
      <w:r w:rsidR="004B4A31">
        <w:rPr>
          <w:rFonts w:ascii="Times New Roman" w:hAnsi="Times New Roman" w:cs="Times New Roman"/>
        </w:rPr>
        <w:t xml:space="preserve"> (</w:t>
      </w:r>
      <w:hyperlink r:id="rId5" w:history="1">
        <w:r w:rsidR="004B4A31" w:rsidRPr="004B4A31">
          <w:rPr>
            <w:rStyle w:val="Hyperlink"/>
            <w:rFonts w:ascii="Times New Roman" w:hAnsi="Times New Roman" w:cs="Times New Roman"/>
          </w:rPr>
          <w:t>ref</w:t>
        </w:r>
      </w:hyperlink>
      <w:r w:rsidR="004B4A31">
        <w:rPr>
          <w:rFonts w:ascii="Times New Roman" w:hAnsi="Times New Roman" w:cs="Times New Roman"/>
        </w:rPr>
        <w:t>)</w:t>
      </w:r>
    </w:p>
    <w:p w14:paraId="3E8E6B89" w14:textId="73BF8B00" w:rsidR="005B3D59" w:rsidRDefault="005B3D59">
      <w:pPr>
        <w:rPr>
          <w:rFonts w:ascii="Times New Roman" w:hAnsi="Times New Roman" w:cs="Times New Roman"/>
        </w:rPr>
      </w:pPr>
      <w:r>
        <w:rPr>
          <w:rFonts w:ascii="Times New Roman" w:hAnsi="Times New Roman" w:cs="Times New Roman"/>
        </w:rPr>
        <w:t>Description: Identifies whether or not there is a structure for this target in the Protein Data Bank</w:t>
      </w:r>
      <w:r w:rsidR="00D3375F">
        <w:rPr>
          <w:rFonts w:ascii="Times New Roman" w:hAnsi="Times New Roman" w:cs="Times New Roman"/>
        </w:rPr>
        <w:t>.</w:t>
      </w:r>
    </w:p>
    <w:p w14:paraId="42D9A062" w14:textId="348684B6" w:rsidR="005B3D59" w:rsidRDefault="005B3D59">
      <w:pPr>
        <w:rPr>
          <w:rFonts w:ascii="Times New Roman" w:hAnsi="Times New Roman" w:cs="Times New Roman"/>
        </w:rPr>
      </w:pPr>
      <w:r>
        <w:rPr>
          <w:rFonts w:ascii="Times New Roman" w:hAnsi="Times New Roman" w:cs="Times New Roman"/>
        </w:rPr>
        <w:t xml:space="preserve">Why this is useful: We have more confidence in an </w:t>
      </w:r>
      <w:proofErr w:type="gramStart"/>
      <w:r>
        <w:rPr>
          <w:rFonts w:ascii="Times New Roman" w:hAnsi="Times New Roman" w:cs="Times New Roman"/>
        </w:rPr>
        <w:t>experimentally-determined</w:t>
      </w:r>
      <w:proofErr w:type="gramEnd"/>
      <w:r>
        <w:rPr>
          <w:rFonts w:ascii="Times New Roman" w:hAnsi="Times New Roman" w:cs="Times New Roman"/>
        </w:rPr>
        <w:t xml:space="preserve"> structure than a </w:t>
      </w:r>
      <w:proofErr w:type="gramStart"/>
      <w:r>
        <w:rPr>
          <w:rFonts w:ascii="Times New Roman" w:hAnsi="Times New Roman" w:cs="Times New Roman"/>
        </w:rPr>
        <w:t>computationally-predicted</w:t>
      </w:r>
      <w:proofErr w:type="gramEnd"/>
      <w:r>
        <w:rPr>
          <w:rFonts w:ascii="Times New Roman" w:hAnsi="Times New Roman" w:cs="Times New Roman"/>
        </w:rPr>
        <w:t xml:space="preserve"> one, and even if the structure does not have a ligand interaction, we can use a structure for pocket finding, docking, and structure-based drug development</w:t>
      </w:r>
      <w:r w:rsidR="008F3490">
        <w:rPr>
          <w:rFonts w:ascii="Times New Roman" w:hAnsi="Times New Roman" w:cs="Times New Roman"/>
        </w:rPr>
        <w:t>.</w:t>
      </w:r>
    </w:p>
    <w:p w14:paraId="3EB66915" w14:textId="11DF09C5" w:rsidR="005B3D59" w:rsidRDefault="005B3D59">
      <w:pPr>
        <w:rPr>
          <w:rFonts w:ascii="Times New Roman" w:hAnsi="Times New Roman" w:cs="Times New Roman"/>
        </w:rPr>
      </w:pPr>
      <w:r>
        <w:rPr>
          <w:rFonts w:ascii="Times New Roman" w:hAnsi="Times New Roman" w:cs="Times New Roman"/>
        </w:rPr>
        <w:t>Relevant existing OTP annotations:</w:t>
      </w:r>
      <w:r w:rsidR="008F3490">
        <w:rPr>
          <w:rFonts w:ascii="Times New Roman" w:hAnsi="Times New Roman" w:cs="Times New Roman"/>
        </w:rPr>
        <w:t xml:space="preserve"> “Structure with Ligand” is the closest existing OTP tractability annotation, but this does not capture experimental structures without a ligand, which are still very valuable and are not yet present for all targets.</w:t>
      </w:r>
    </w:p>
    <w:p w14:paraId="3726FB54" w14:textId="77777777" w:rsidR="005B3D59" w:rsidRDefault="005B3D59">
      <w:pPr>
        <w:rPr>
          <w:rFonts w:ascii="Times New Roman" w:hAnsi="Times New Roman" w:cs="Times New Roman"/>
        </w:rPr>
      </w:pPr>
    </w:p>
    <w:p w14:paraId="71AA113E" w14:textId="1CFF565C" w:rsidR="005B3D59" w:rsidRPr="005B3D59" w:rsidRDefault="005B3D59">
      <w:pPr>
        <w:rPr>
          <w:rFonts w:ascii="Courier New" w:hAnsi="Courier New" w:cs="Courier New"/>
        </w:rPr>
      </w:pPr>
      <w:r w:rsidRPr="005B3D59">
        <w:rPr>
          <w:rFonts w:ascii="Courier New" w:hAnsi="Courier New" w:cs="Courier New"/>
        </w:rPr>
        <w:t>has_af2_structure</w:t>
      </w:r>
    </w:p>
    <w:p w14:paraId="39881E1E" w14:textId="77777777" w:rsidR="005B3D59" w:rsidRDefault="005B3D59" w:rsidP="005B3D59">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Ensembl</w:t>
      </w:r>
      <w:proofErr w:type="spellEnd"/>
      <w:r>
        <w:rPr>
          <w:rFonts w:ascii="Times New Roman" w:hAnsi="Times New Roman" w:cs="Times New Roman"/>
        </w:rPr>
        <w:t xml:space="preserve"> id</w:t>
      </w:r>
    </w:p>
    <w:p w14:paraId="35F842DC" w14:textId="2F3750BF" w:rsidR="005B3D59" w:rsidRDefault="005B3D59" w:rsidP="005B3D59">
      <w:pPr>
        <w:rPr>
          <w:rFonts w:ascii="Times New Roman" w:hAnsi="Times New Roman" w:cs="Times New Roman"/>
        </w:rPr>
      </w:pPr>
      <w:r>
        <w:rPr>
          <w:rFonts w:ascii="Times New Roman" w:hAnsi="Times New Roman" w:cs="Times New Roman"/>
        </w:rPr>
        <w:t xml:space="preserve">Output: </w:t>
      </w:r>
      <w:r w:rsidR="003E69BD">
        <w:rPr>
          <w:rFonts w:ascii="Times New Roman" w:hAnsi="Times New Roman" w:cs="Times New Roman"/>
        </w:rPr>
        <w:t xml:space="preserve">The average per-residue </w:t>
      </w:r>
      <w:proofErr w:type="spellStart"/>
      <w:r w:rsidR="003E69BD">
        <w:rPr>
          <w:rFonts w:ascii="Times New Roman" w:hAnsi="Times New Roman" w:cs="Times New Roman"/>
        </w:rPr>
        <w:t>pLDDT</w:t>
      </w:r>
      <w:proofErr w:type="spellEnd"/>
      <w:r w:rsidR="003E69BD">
        <w:rPr>
          <w:rFonts w:ascii="Times New Roman" w:hAnsi="Times New Roman" w:cs="Times New Roman"/>
        </w:rPr>
        <w:t xml:space="preserve"> (confidence) score for the highest-confidence AlphaFold2-predicted structure of this target, or None if there is no predicted structure</w:t>
      </w:r>
    </w:p>
    <w:p w14:paraId="1029C339" w14:textId="1A30EC5F" w:rsidR="005B3D59" w:rsidRDefault="005B3D59" w:rsidP="005B3D59">
      <w:pPr>
        <w:rPr>
          <w:rFonts w:ascii="Times New Roman" w:hAnsi="Times New Roman" w:cs="Times New Roman"/>
        </w:rPr>
      </w:pPr>
      <w:r>
        <w:rPr>
          <w:rFonts w:ascii="Times New Roman" w:hAnsi="Times New Roman" w:cs="Times New Roman"/>
        </w:rPr>
        <w:t>Source:</w:t>
      </w:r>
      <w:r w:rsidR="004B4A31">
        <w:rPr>
          <w:rFonts w:ascii="Times New Roman" w:hAnsi="Times New Roman" w:cs="Times New Roman"/>
        </w:rPr>
        <w:t xml:space="preserve"> </w:t>
      </w:r>
      <w:hyperlink r:id="rId6" w:history="1">
        <w:r w:rsidR="004B4A31" w:rsidRPr="004B4A31">
          <w:rPr>
            <w:rStyle w:val="Hyperlink"/>
            <w:rFonts w:ascii="Times New Roman" w:hAnsi="Times New Roman" w:cs="Times New Roman"/>
          </w:rPr>
          <w:t>AlphaFold Protein Structure Database</w:t>
        </w:r>
      </w:hyperlink>
      <w:r w:rsidR="004B4A31">
        <w:rPr>
          <w:rFonts w:ascii="Times New Roman" w:hAnsi="Times New Roman" w:cs="Times New Roman"/>
        </w:rPr>
        <w:t xml:space="preserve"> (</w:t>
      </w:r>
      <w:hyperlink r:id="rId7" w:history="1">
        <w:r w:rsidR="004B4A31" w:rsidRPr="004B4A31">
          <w:rPr>
            <w:rStyle w:val="Hyperlink"/>
            <w:rFonts w:ascii="Times New Roman" w:hAnsi="Times New Roman" w:cs="Times New Roman"/>
          </w:rPr>
          <w:t>ref</w:t>
        </w:r>
      </w:hyperlink>
      <w:r w:rsidR="004B4A31">
        <w:rPr>
          <w:rFonts w:ascii="Times New Roman" w:hAnsi="Times New Roman" w:cs="Times New Roman"/>
        </w:rPr>
        <w:t>)</w:t>
      </w:r>
    </w:p>
    <w:p w14:paraId="2D331842" w14:textId="5DAA9268" w:rsidR="005B3D59" w:rsidRDefault="005B3D59" w:rsidP="005B3D59">
      <w:pPr>
        <w:rPr>
          <w:rFonts w:ascii="Times New Roman" w:hAnsi="Times New Roman" w:cs="Times New Roman"/>
        </w:rPr>
      </w:pPr>
      <w:r>
        <w:rPr>
          <w:rFonts w:ascii="Times New Roman" w:hAnsi="Times New Roman" w:cs="Times New Roman"/>
        </w:rPr>
        <w:t>Description:</w:t>
      </w:r>
      <w:r w:rsidR="003E69BD">
        <w:rPr>
          <w:rFonts w:ascii="Times New Roman" w:hAnsi="Times New Roman" w:cs="Times New Roman"/>
        </w:rPr>
        <w:t xml:space="preserve"> Identifies whether or not there is a </w:t>
      </w:r>
      <w:proofErr w:type="gramStart"/>
      <w:r w:rsidR="003E69BD">
        <w:rPr>
          <w:rFonts w:ascii="Times New Roman" w:hAnsi="Times New Roman" w:cs="Times New Roman"/>
        </w:rPr>
        <w:t>computationally-predicted</w:t>
      </w:r>
      <w:proofErr w:type="gramEnd"/>
      <w:r w:rsidR="003E69BD">
        <w:rPr>
          <w:rFonts w:ascii="Times New Roman" w:hAnsi="Times New Roman" w:cs="Times New Roman"/>
        </w:rPr>
        <w:t xml:space="preserve"> structure for this target in the AlphaFold Protein Structure Database. Structures are predicted by AlphaFold2. The per-residue confidence metric originally scales from 0 to 100, but here we re-scale it from 0 to 1. Per the AlphaFold Protein Structure Database website, some general guidelines for interpreting the confidence metric (rescaled from 0 to 1 here) are: </w:t>
      </w:r>
      <w:r w:rsidR="00D3375F">
        <w:rPr>
          <w:rFonts w:ascii="Times New Roman" w:hAnsi="Times New Roman" w:cs="Times New Roman"/>
        </w:rPr>
        <w:t>greater than 0.9 is very high confidence, between .7 and .9 is high confidence, between 0.5 and 0.7 is low confidence, and below 0.5 is very low confidence.</w:t>
      </w:r>
    </w:p>
    <w:p w14:paraId="38C2F7E5" w14:textId="0B33AAB5" w:rsidR="005B3D59" w:rsidRDefault="005B3D59" w:rsidP="005B3D59">
      <w:pPr>
        <w:rPr>
          <w:rFonts w:ascii="Times New Roman" w:hAnsi="Times New Roman" w:cs="Times New Roman"/>
        </w:rPr>
      </w:pPr>
      <w:r>
        <w:rPr>
          <w:rFonts w:ascii="Times New Roman" w:hAnsi="Times New Roman" w:cs="Times New Roman"/>
        </w:rPr>
        <w:t>Why this is useful:</w:t>
      </w:r>
      <w:r w:rsidR="00D3375F">
        <w:rPr>
          <w:rFonts w:ascii="Times New Roman" w:hAnsi="Times New Roman" w:cs="Times New Roman"/>
        </w:rPr>
        <w:t xml:space="preserve"> If there is not an </w:t>
      </w:r>
      <w:proofErr w:type="gramStart"/>
      <w:r w:rsidR="00D3375F">
        <w:rPr>
          <w:rFonts w:ascii="Times New Roman" w:hAnsi="Times New Roman" w:cs="Times New Roman"/>
        </w:rPr>
        <w:t>experimentally-determined</w:t>
      </w:r>
      <w:proofErr w:type="gramEnd"/>
      <w:r w:rsidR="00D3375F">
        <w:rPr>
          <w:rFonts w:ascii="Times New Roman" w:hAnsi="Times New Roman" w:cs="Times New Roman"/>
        </w:rPr>
        <w:t xml:space="preserve"> structure of a protein, then a high-confidence </w:t>
      </w:r>
      <w:proofErr w:type="gramStart"/>
      <w:r w:rsidR="00D3375F">
        <w:rPr>
          <w:rFonts w:ascii="Times New Roman" w:hAnsi="Times New Roman" w:cs="Times New Roman"/>
        </w:rPr>
        <w:t>computationally-predicted</w:t>
      </w:r>
      <w:proofErr w:type="gramEnd"/>
      <w:r w:rsidR="00D3375F">
        <w:rPr>
          <w:rFonts w:ascii="Times New Roman" w:hAnsi="Times New Roman" w:cs="Times New Roman"/>
        </w:rPr>
        <w:t xml:space="preserve"> structure can still be useful for identifying potential binding pockets. Knowing the overall confidence of the predicted structure helps us understand how much we can trust it for downstream applications.</w:t>
      </w:r>
    </w:p>
    <w:p w14:paraId="76736442" w14:textId="3A34C746" w:rsidR="005B3D59" w:rsidRDefault="005B3D59">
      <w:pPr>
        <w:rPr>
          <w:rFonts w:ascii="Times New Roman" w:hAnsi="Times New Roman" w:cs="Times New Roman"/>
        </w:rPr>
      </w:pPr>
      <w:r>
        <w:rPr>
          <w:rFonts w:ascii="Times New Roman" w:hAnsi="Times New Roman" w:cs="Times New Roman"/>
        </w:rPr>
        <w:lastRenderedPageBreak/>
        <w:t>Relevant existing OTP annotations:</w:t>
      </w:r>
      <w:r w:rsidR="008F3490">
        <w:rPr>
          <w:rFonts w:ascii="Times New Roman" w:hAnsi="Times New Roman" w:cs="Times New Roman"/>
        </w:rPr>
        <w:t xml:space="preserve"> “Structure with Ligand” is the closest OTP tractability annotation, but this only captures </w:t>
      </w:r>
      <w:proofErr w:type="gramStart"/>
      <w:r w:rsidR="008F3490">
        <w:rPr>
          <w:rFonts w:ascii="Times New Roman" w:hAnsi="Times New Roman" w:cs="Times New Roman"/>
        </w:rPr>
        <w:t>experimentally-determined</w:t>
      </w:r>
      <w:proofErr w:type="gramEnd"/>
      <w:r w:rsidR="008F3490">
        <w:rPr>
          <w:rFonts w:ascii="Times New Roman" w:hAnsi="Times New Roman" w:cs="Times New Roman"/>
        </w:rPr>
        <w:t xml:space="preserve"> structures (with a ligand). In the post-AlphaFold era, we can obtain high-confidence structures computationally and use these to assess </w:t>
      </w:r>
      <w:proofErr w:type="spellStart"/>
      <w:r w:rsidR="008F3490">
        <w:rPr>
          <w:rFonts w:ascii="Times New Roman" w:hAnsi="Times New Roman" w:cs="Times New Roman"/>
        </w:rPr>
        <w:t>ligandability</w:t>
      </w:r>
      <w:proofErr w:type="spellEnd"/>
      <w:r w:rsidR="008F3490">
        <w:rPr>
          <w:rFonts w:ascii="Times New Roman" w:hAnsi="Times New Roman" w:cs="Times New Roman"/>
        </w:rPr>
        <w:t>/</w:t>
      </w:r>
      <w:proofErr w:type="spellStart"/>
      <w:r w:rsidR="008F3490">
        <w:rPr>
          <w:rFonts w:ascii="Times New Roman" w:hAnsi="Times New Roman" w:cs="Times New Roman"/>
        </w:rPr>
        <w:t>druggability</w:t>
      </w:r>
      <w:proofErr w:type="spellEnd"/>
      <w:r w:rsidR="008F3490">
        <w:rPr>
          <w:rFonts w:ascii="Times New Roman" w:hAnsi="Times New Roman" w:cs="Times New Roman"/>
        </w:rPr>
        <w:t xml:space="preserve"> of a target. However, the confidence of predicted structures varies – not all predicted structures are equally good.</w:t>
      </w:r>
    </w:p>
    <w:p w14:paraId="0FFCC49C" w14:textId="77777777" w:rsidR="005B3D59" w:rsidRDefault="005B3D59">
      <w:pPr>
        <w:rPr>
          <w:rFonts w:ascii="Times New Roman" w:hAnsi="Times New Roman" w:cs="Times New Roman"/>
        </w:rPr>
      </w:pPr>
    </w:p>
    <w:p w14:paraId="29981D73" w14:textId="6CF8E347" w:rsidR="005B3D59" w:rsidRPr="005B3D59" w:rsidRDefault="005B3D59">
      <w:pPr>
        <w:rPr>
          <w:rFonts w:ascii="Courier New" w:hAnsi="Courier New" w:cs="Courier New"/>
        </w:rPr>
      </w:pPr>
      <w:proofErr w:type="spellStart"/>
      <w:r w:rsidRPr="005B3D59">
        <w:rPr>
          <w:rFonts w:ascii="Courier New" w:hAnsi="Courier New" w:cs="Courier New"/>
        </w:rPr>
        <w:t>has_biolip_interaction</w:t>
      </w:r>
      <w:proofErr w:type="spellEnd"/>
    </w:p>
    <w:p w14:paraId="1C365872" w14:textId="77777777" w:rsidR="005B3D59" w:rsidRDefault="005B3D59" w:rsidP="005B3D59">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Ensembl</w:t>
      </w:r>
      <w:proofErr w:type="spellEnd"/>
      <w:r>
        <w:rPr>
          <w:rFonts w:ascii="Times New Roman" w:hAnsi="Times New Roman" w:cs="Times New Roman"/>
        </w:rPr>
        <w:t xml:space="preserve"> id</w:t>
      </w:r>
    </w:p>
    <w:p w14:paraId="6BEBD74A" w14:textId="0095442E" w:rsidR="005B3D59" w:rsidRDefault="005B3D59" w:rsidP="005B3D59">
      <w:pPr>
        <w:rPr>
          <w:rFonts w:ascii="Times New Roman" w:hAnsi="Times New Roman" w:cs="Times New Roman"/>
        </w:rPr>
      </w:pPr>
      <w:r>
        <w:rPr>
          <w:rFonts w:ascii="Times New Roman" w:hAnsi="Times New Roman" w:cs="Times New Roman"/>
        </w:rPr>
        <w:t xml:space="preserve">Output: </w:t>
      </w:r>
      <w:r w:rsidR="00D3375F">
        <w:rPr>
          <w:rFonts w:ascii="Times New Roman" w:hAnsi="Times New Roman" w:cs="Times New Roman"/>
        </w:rPr>
        <w:t xml:space="preserve">1 if there is a </w:t>
      </w:r>
      <w:proofErr w:type="gramStart"/>
      <w:r w:rsidR="00D3375F">
        <w:rPr>
          <w:rFonts w:ascii="Times New Roman" w:hAnsi="Times New Roman" w:cs="Times New Roman"/>
        </w:rPr>
        <w:t>biologically-relevant</w:t>
      </w:r>
      <w:proofErr w:type="gramEnd"/>
      <w:r w:rsidR="00D3375F">
        <w:rPr>
          <w:rFonts w:ascii="Times New Roman" w:hAnsi="Times New Roman" w:cs="Times New Roman"/>
        </w:rPr>
        <w:t xml:space="preserve"> ligand interaction for this target as annotated in the </w:t>
      </w:r>
      <w:proofErr w:type="spellStart"/>
      <w:r w:rsidR="00D3375F">
        <w:rPr>
          <w:rFonts w:ascii="Times New Roman" w:hAnsi="Times New Roman" w:cs="Times New Roman"/>
        </w:rPr>
        <w:t>BioLiP</w:t>
      </w:r>
      <w:proofErr w:type="spellEnd"/>
      <w:r w:rsidR="00D3375F">
        <w:rPr>
          <w:rFonts w:ascii="Times New Roman" w:hAnsi="Times New Roman" w:cs="Times New Roman"/>
        </w:rPr>
        <w:t xml:space="preserve"> database, in addition to a list of all </w:t>
      </w:r>
      <w:proofErr w:type="gramStart"/>
      <w:r w:rsidR="00D3375F">
        <w:rPr>
          <w:rFonts w:ascii="Times New Roman" w:hAnsi="Times New Roman" w:cs="Times New Roman"/>
        </w:rPr>
        <w:t>biologically-relevant</w:t>
      </w:r>
      <w:proofErr w:type="gramEnd"/>
      <w:r w:rsidR="00D3375F">
        <w:rPr>
          <w:rFonts w:ascii="Times New Roman" w:hAnsi="Times New Roman" w:cs="Times New Roman"/>
        </w:rPr>
        <w:t xml:space="preserve"> ligands and a brief description of each ligand; </w:t>
      </w:r>
      <w:proofErr w:type="gramStart"/>
      <w:r w:rsidR="00D3375F">
        <w:rPr>
          <w:rFonts w:ascii="Times New Roman" w:hAnsi="Times New Roman" w:cs="Times New Roman"/>
        </w:rPr>
        <w:t>otherwise</w:t>
      </w:r>
      <w:proofErr w:type="gramEnd"/>
      <w:r w:rsidR="00D3375F">
        <w:rPr>
          <w:rFonts w:ascii="Times New Roman" w:hAnsi="Times New Roman" w:cs="Times New Roman"/>
        </w:rPr>
        <w:t xml:space="preserve"> None</w:t>
      </w:r>
    </w:p>
    <w:p w14:paraId="51AF35D5" w14:textId="26A5612A" w:rsidR="005B3D59" w:rsidRDefault="005B3D59" w:rsidP="005B3D59">
      <w:pPr>
        <w:rPr>
          <w:rFonts w:ascii="Times New Roman" w:hAnsi="Times New Roman" w:cs="Times New Roman"/>
        </w:rPr>
      </w:pPr>
      <w:r>
        <w:rPr>
          <w:rFonts w:ascii="Times New Roman" w:hAnsi="Times New Roman" w:cs="Times New Roman"/>
        </w:rPr>
        <w:t>Source:</w:t>
      </w:r>
      <w:r w:rsidR="004B4A31">
        <w:rPr>
          <w:rFonts w:ascii="Times New Roman" w:hAnsi="Times New Roman" w:cs="Times New Roman"/>
        </w:rPr>
        <w:t xml:space="preserve"> </w:t>
      </w:r>
      <w:hyperlink r:id="rId8" w:history="1">
        <w:proofErr w:type="spellStart"/>
        <w:r w:rsidR="004B4A31" w:rsidRPr="003E69BD">
          <w:rPr>
            <w:rStyle w:val="Hyperlink"/>
            <w:rFonts w:ascii="Times New Roman" w:hAnsi="Times New Roman" w:cs="Times New Roman"/>
          </w:rPr>
          <w:t>BioLiP</w:t>
        </w:r>
        <w:proofErr w:type="spellEnd"/>
      </w:hyperlink>
      <w:r w:rsidR="004B4A31">
        <w:rPr>
          <w:rFonts w:ascii="Times New Roman" w:hAnsi="Times New Roman" w:cs="Times New Roman"/>
        </w:rPr>
        <w:t xml:space="preserve"> (</w:t>
      </w:r>
      <w:hyperlink r:id="rId9" w:history="1">
        <w:r w:rsidR="004B4A31" w:rsidRPr="003E69BD">
          <w:rPr>
            <w:rStyle w:val="Hyperlink"/>
            <w:rFonts w:ascii="Times New Roman" w:hAnsi="Times New Roman" w:cs="Times New Roman"/>
          </w:rPr>
          <w:t>ref</w:t>
        </w:r>
      </w:hyperlink>
      <w:r w:rsidR="004B4A31">
        <w:rPr>
          <w:rFonts w:ascii="Times New Roman" w:hAnsi="Times New Roman" w:cs="Times New Roman"/>
        </w:rPr>
        <w:t>)</w:t>
      </w:r>
    </w:p>
    <w:p w14:paraId="49B10146" w14:textId="5E3F7D81" w:rsidR="005B3D59" w:rsidRDefault="005B3D59" w:rsidP="005B3D59">
      <w:pPr>
        <w:rPr>
          <w:rFonts w:ascii="Times New Roman" w:hAnsi="Times New Roman" w:cs="Times New Roman"/>
          <w:lang w:eastAsia="ja-JP"/>
        </w:rPr>
      </w:pPr>
      <w:r>
        <w:rPr>
          <w:rFonts w:ascii="Times New Roman" w:hAnsi="Times New Roman" w:cs="Times New Roman"/>
        </w:rPr>
        <w:t>Description:</w:t>
      </w:r>
      <w:r w:rsidR="00D3375F">
        <w:rPr>
          <w:rFonts w:ascii="Times New Roman" w:hAnsi="Times New Roman" w:cs="Times New Roman"/>
        </w:rPr>
        <w:t xml:space="preserve"> Identifies whether or not there is a </w:t>
      </w:r>
      <w:proofErr w:type="spellStart"/>
      <w:r w:rsidR="00D3375F">
        <w:rPr>
          <w:rFonts w:ascii="Times New Roman" w:hAnsi="Times New Roman" w:cs="Times New Roman"/>
        </w:rPr>
        <w:t>BioLiP</w:t>
      </w:r>
      <w:proofErr w:type="spellEnd"/>
      <w:r w:rsidR="00D3375F">
        <w:rPr>
          <w:rFonts w:ascii="Times New Roman" w:hAnsi="Times New Roman" w:cs="Times New Roman"/>
        </w:rPr>
        <w:t xml:space="preserve"> annotation for this target, and if so, what kinds of ligands are known to bind. Having a </w:t>
      </w:r>
      <w:proofErr w:type="spellStart"/>
      <w:r w:rsidR="00D3375F">
        <w:rPr>
          <w:rFonts w:ascii="Times New Roman" w:hAnsi="Times New Roman" w:cs="Times New Roman"/>
        </w:rPr>
        <w:t>BioLiP</w:t>
      </w:r>
      <w:proofErr w:type="spellEnd"/>
      <w:r w:rsidR="00D3375F">
        <w:rPr>
          <w:rFonts w:ascii="Times New Roman" w:hAnsi="Times New Roman" w:cs="Times New Roman"/>
        </w:rPr>
        <w:t xml:space="preserve"> annotation means that there is a structure in the Protein Data Bank for this target that has a </w:t>
      </w:r>
      <w:proofErr w:type="gramStart"/>
      <w:r w:rsidR="00D3375F">
        <w:rPr>
          <w:rFonts w:ascii="Times New Roman" w:hAnsi="Times New Roman" w:cs="Times New Roman"/>
        </w:rPr>
        <w:t>biologically-relevant</w:t>
      </w:r>
      <w:proofErr w:type="gramEnd"/>
      <w:r w:rsidR="00D3375F">
        <w:rPr>
          <w:rFonts w:ascii="Times New Roman" w:hAnsi="Times New Roman" w:cs="Times New Roman"/>
        </w:rPr>
        <w:t xml:space="preserve"> ligand interaction.</w:t>
      </w:r>
    </w:p>
    <w:p w14:paraId="039F437A" w14:textId="0D451A36" w:rsidR="005B3D59" w:rsidRDefault="005B3D59" w:rsidP="005B3D59">
      <w:pPr>
        <w:rPr>
          <w:rFonts w:ascii="Times New Roman" w:hAnsi="Times New Roman" w:cs="Times New Roman"/>
        </w:rPr>
      </w:pPr>
      <w:r>
        <w:rPr>
          <w:rFonts w:ascii="Times New Roman" w:hAnsi="Times New Roman" w:cs="Times New Roman"/>
        </w:rPr>
        <w:t>Why this is useful:</w:t>
      </w:r>
      <w:r w:rsidR="000C2595">
        <w:rPr>
          <w:rFonts w:ascii="Times New Roman" w:hAnsi="Times New Roman" w:cs="Times New Roman"/>
        </w:rPr>
        <w:t xml:space="preserve"> Knowing a validated ligand is helpful both for identifying the binding site and what kind of ligand is able to bind. </w:t>
      </w:r>
      <w:proofErr w:type="spellStart"/>
      <w:r w:rsidR="000C2595">
        <w:rPr>
          <w:rFonts w:ascii="Times New Roman" w:hAnsi="Times New Roman" w:cs="Times New Roman"/>
        </w:rPr>
        <w:t>BioLiP</w:t>
      </w:r>
      <w:proofErr w:type="spellEnd"/>
      <w:r w:rsidR="000C2595">
        <w:rPr>
          <w:rFonts w:ascii="Times New Roman" w:hAnsi="Times New Roman" w:cs="Times New Roman"/>
        </w:rPr>
        <w:t xml:space="preserve"> differentiates </w:t>
      </w:r>
      <w:proofErr w:type="gramStart"/>
      <w:r w:rsidR="000C2595">
        <w:rPr>
          <w:rFonts w:ascii="Times New Roman" w:hAnsi="Times New Roman" w:cs="Times New Roman"/>
        </w:rPr>
        <w:t>biologically-relevant</w:t>
      </w:r>
      <w:proofErr w:type="gramEnd"/>
      <w:r w:rsidR="000C2595">
        <w:rPr>
          <w:rFonts w:ascii="Times New Roman" w:hAnsi="Times New Roman" w:cs="Times New Roman"/>
        </w:rPr>
        <w:t xml:space="preserve"> ligands from things like solvent interactions that would not yield useful information for </w:t>
      </w:r>
      <w:proofErr w:type="spellStart"/>
      <w:r w:rsidR="000C2595">
        <w:rPr>
          <w:rFonts w:ascii="Times New Roman" w:hAnsi="Times New Roman" w:cs="Times New Roman"/>
        </w:rPr>
        <w:t>druggability</w:t>
      </w:r>
      <w:proofErr w:type="spellEnd"/>
      <w:r w:rsidR="000C2595">
        <w:rPr>
          <w:rFonts w:ascii="Times New Roman" w:hAnsi="Times New Roman" w:cs="Times New Roman"/>
        </w:rPr>
        <w:t>.</w:t>
      </w:r>
    </w:p>
    <w:p w14:paraId="222936CF" w14:textId="2A925CD1" w:rsidR="005B3D59" w:rsidRDefault="005B3D59">
      <w:pPr>
        <w:rPr>
          <w:rFonts w:ascii="Times New Roman" w:hAnsi="Times New Roman" w:cs="Times New Roman"/>
        </w:rPr>
      </w:pPr>
      <w:r>
        <w:rPr>
          <w:rFonts w:ascii="Times New Roman" w:hAnsi="Times New Roman" w:cs="Times New Roman"/>
        </w:rPr>
        <w:t>Relevant existing OTP annotations:</w:t>
      </w:r>
      <w:r w:rsidR="00087F7A">
        <w:rPr>
          <w:rFonts w:ascii="Times New Roman" w:hAnsi="Times New Roman" w:cs="Times New Roman"/>
        </w:rPr>
        <w:t xml:space="preserve"> “Structure with Ligand” is the closest OTP tractability annotation, and this column has a lot of overlap with </w:t>
      </w:r>
      <w:proofErr w:type="spellStart"/>
      <w:r w:rsidR="00087F7A">
        <w:rPr>
          <w:rFonts w:ascii="Times New Roman" w:hAnsi="Times New Roman" w:cs="Times New Roman"/>
        </w:rPr>
        <w:t>BioLiP</w:t>
      </w:r>
      <w:proofErr w:type="spellEnd"/>
      <w:r w:rsidR="00087F7A">
        <w:rPr>
          <w:rFonts w:ascii="Times New Roman" w:hAnsi="Times New Roman" w:cs="Times New Roman"/>
        </w:rPr>
        <w:t xml:space="preserve"> annotations. However, “Structure with Ligand” only captures if the target has a structure in which there is a small molecule ligand. The </w:t>
      </w:r>
      <w:proofErr w:type="spellStart"/>
      <w:r w:rsidR="00087F7A">
        <w:rPr>
          <w:rFonts w:ascii="Times New Roman" w:hAnsi="Times New Roman" w:cs="Times New Roman"/>
        </w:rPr>
        <w:t>BioLiP</w:t>
      </w:r>
      <w:proofErr w:type="spellEnd"/>
      <w:r w:rsidR="00087F7A">
        <w:rPr>
          <w:rFonts w:ascii="Times New Roman" w:hAnsi="Times New Roman" w:cs="Times New Roman"/>
        </w:rPr>
        <w:t xml:space="preserve"> annotations indicate whether the ligand is interacting with the given protein. For example, say there is a structure of the complex of Protein A, Protein B, and Ligand C, and in this structure, Ligand C is bound to Protein A. In OTP, the “Structure with Ligand” column will indicate an interaction for both Protein A and Protein B. The </w:t>
      </w:r>
      <w:proofErr w:type="spellStart"/>
      <w:r w:rsidR="00087F7A" w:rsidRPr="00087F7A">
        <w:rPr>
          <w:rFonts w:ascii="Courier New" w:hAnsi="Courier New" w:cs="Courier New"/>
        </w:rPr>
        <w:t>has_biolip_interaction</w:t>
      </w:r>
      <w:proofErr w:type="spellEnd"/>
      <w:r w:rsidR="00087F7A">
        <w:rPr>
          <w:rFonts w:ascii="Times New Roman" w:hAnsi="Times New Roman" w:cs="Times New Roman"/>
        </w:rPr>
        <w:t xml:space="preserve"> column will only indicate an interaction for Protein A, not Protein B. Additionally </w:t>
      </w:r>
      <w:proofErr w:type="spellStart"/>
      <w:r w:rsidR="00087F7A" w:rsidRPr="00087F7A">
        <w:rPr>
          <w:rFonts w:ascii="Courier New" w:hAnsi="Courier New" w:cs="Courier New"/>
        </w:rPr>
        <w:t>has_biolip_interaction</w:t>
      </w:r>
      <w:proofErr w:type="spellEnd"/>
      <w:r w:rsidR="00087F7A" w:rsidRPr="00087F7A">
        <w:rPr>
          <w:rFonts w:ascii="Times New Roman" w:hAnsi="Times New Roman" w:cs="Times New Roman"/>
        </w:rPr>
        <w:t xml:space="preserve"> </w:t>
      </w:r>
      <w:r w:rsidR="00087F7A">
        <w:rPr>
          <w:rFonts w:ascii="Times New Roman" w:hAnsi="Times New Roman" w:cs="Times New Roman"/>
        </w:rPr>
        <w:t>provides annotations on whether the ligands are DNA, RNA, peptide, organic small molecule, or inorganic small molecule. Lastly, “Structure with Ligand” flags non-</w:t>
      </w:r>
      <w:proofErr w:type="gramStart"/>
      <w:r w:rsidR="00087F7A">
        <w:rPr>
          <w:rFonts w:ascii="Times New Roman" w:hAnsi="Times New Roman" w:cs="Times New Roman"/>
        </w:rPr>
        <w:t>biologically-relevant</w:t>
      </w:r>
      <w:proofErr w:type="gramEnd"/>
      <w:r w:rsidR="00087F7A">
        <w:rPr>
          <w:rFonts w:ascii="Times New Roman" w:hAnsi="Times New Roman" w:cs="Times New Roman"/>
        </w:rPr>
        <w:t xml:space="preserve"> ligand interactions such as solvent </w:t>
      </w:r>
      <w:proofErr w:type="gramStart"/>
      <w:r w:rsidR="00087F7A">
        <w:rPr>
          <w:rFonts w:ascii="Times New Roman" w:hAnsi="Times New Roman" w:cs="Times New Roman"/>
        </w:rPr>
        <w:t>interactions, and</w:t>
      </w:r>
      <w:proofErr w:type="gramEnd"/>
      <w:r w:rsidR="00087F7A">
        <w:rPr>
          <w:rFonts w:ascii="Times New Roman" w:hAnsi="Times New Roman" w:cs="Times New Roman"/>
        </w:rPr>
        <w:t xml:space="preserve"> </w:t>
      </w:r>
      <w:proofErr w:type="spellStart"/>
      <w:r w:rsidR="00087F7A" w:rsidRPr="00087F7A">
        <w:rPr>
          <w:rFonts w:ascii="Courier New" w:hAnsi="Courier New" w:cs="Courier New"/>
        </w:rPr>
        <w:t>has_biolip_interaction</w:t>
      </w:r>
      <w:proofErr w:type="spellEnd"/>
      <w:r w:rsidR="00087F7A">
        <w:rPr>
          <w:rFonts w:ascii="Times New Roman" w:hAnsi="Times New Roman" w:cs="Times New Roman"/>
        </w:rPr>
        <w:t xml:space="preserve"> does not.</w:t>
      </w:r>
    </w:p>
    <w:p w14:paraId="39D699E4" w14:textId="77777777" w:rsidR="005B3D59" w:rsidRDefault="005B3D59">
      <w:pPr>
        <w:rPr>
          <w:rFonts w:ascii="Times New Roman" w:hAnsi="Times New Roman" w:cs="Times New Roman"/>
        </w:rPr>
      </w:pPr>
    </w:p>
    <w:p w14:paraId="211C190A" w14:textId="3651D076" w:rsidR="005B3D59" w:rsidRDefault="005B3D59">
      <w:pPr>
        <w:rPr>
          <w:rFonts w:ascii="Courier New" w:hAnsi="Courier New" w:cs="Courier New"/>
        </w:rPr>
      </w:pPr>
      <w:proofErr w:type="spellStart"/>
      <w:r w:rsidRPr="005B3D59">
        <w:rPr>
          <w:rFonts w:ascii="Courier New" w:hAnsi="Courier New" w:cs="Courier New"/>
        </w:rPr>
        <w:t>has_prank_pdb_pocket</w:t>
      </w:r>
      <w:proofErr w:type="spellEnd"/>
    </w:p>
    <w:p w14:paraId="79F96D4F" w14:textId="77777777" w:rsidR="005B3D59" w:rsidRDefault="005B3D59" w:rsidP="005B3D59">
      <w:pPr>
        <w:rPr>
          <w:rFonts w:ascii="Times New Roman" w:hAnsi="Times New Roman" w:cs="Times New Roman"/>
        </w:rPr>
      </w:pPr>
      <w:r>
        <w:rPr>
          <w:rFonts w:ascii="Times New Roman" w:hAnsi="Times New Roman" w:cs="Times New Roman"/>
        </w:rPr>
        <w:t xml:space="preserve">Input: </w:t>
      </w:r>
      <w:proofErr w:type="spellStart"/>
      <w:r>
        <w:rPr>
          <w:rFonts w:ascii="Times New Roman" w:hAnsi="Times New Roman" w:cs="Times New Roman"/>
        </w:rPr>
        <w:t>Ensembl</w:t>
      </w:r>
      <w:proofErr w:type="spellEnd"/>
      <w:r>
        <w:rPr>
          <w:rFonts w:ascii="Times New Roman" w:hAnsi="Times New Roman" w:cs="Times New Roman"/>
        </w:rPr>
        <w:t xml:space="preserve"> id</w:t>
      </w:r>
    </w:p>
    <w:p w14:paraId="70E3640F" w14:textId="3FADA10C" w:rsidR="005B3D59" w:rsidRDefault="005B3D59" w:rsidP="005B3D59">
      <w:pPr>
        <w:rPr>
          <w:rFonts w:ascii="Times New Roman" w:hAnsi="Times New Roman" w:cs="Times New Roman"/>
        </w:rPr>
      </w:pPr>
      <w:r>
        <w:rPr>
          <w:rFonts w:ascii="Times New Roman" w:hAnsi="Times New Roman" w:cs="Times New Roman"/>
        </w:rPr>
        <w:lastRenderedPageBreak/>
        <w:t xml:space="preserve">Output: </w:t>
      </w:r>
      <w:r w:rsidR="000C2595">
        <w:rPr>
          <w:rFonts w:ascii="Times New Roman" w:hAnsi="Times New Roman" w:cs="Times New Roman"/>
        </w:rPr>
        <w:t xml:space="preserve">The highest probability </w:t>
      </w:r>
      <w:proofErr w:type="gramStart"/>
      <w:r w:rsidR="000C2595">
        <w:rPr>
          <w:rFonts w:ascii="Times New Roman" w:hAnsi="Times New Roman" w:cs="Times New Roman"/>
        </w:rPr>
        <w:t>score</w:t>
      </w:r>
      <w:proofErr w:type="gramEnd"/>
      <w:r w:rsidR="000C2595">
        <w:rPr>
          <w:rFonts w:ascii="Times New Roman" w:hAnsi="Times New Roman" w:cs="Times New Roman"/>
        </w:rPr>
        <w:t xml:space="preserve"> out of the set of all P2Rank-predicted pockets, or None if there are no predicted pockets</w:t>
      </w:r>
    </w:p>
    <w:p w14:paraId="5E829719" w14:textId="0BDBED22" w:rsidR="005B3D59" w:rsidRDefault="005B3D59" w:rsidP="005B3D59">
      <w:pPr>
        <w:rPr>
          <w:rFonts w:ascii="Times New Roman" w:hAnsi="Times New Roman" w:cs="Times New Roman"/>
        </w:rPr>
      </w:pPr>
      <w:r>
        <w:rPr>
          <w:rFonts w:ascii="Times New Roman" w:hAnsi="Times New Roman" w:cs="Times New Roman"/>
        </w:rPr>
        <w:t>Source:</w:t>
      </w:r>
      <w:r w:rsidR="003E69BD">
        <w:rPr>
          <w:rFonts w:ascii="Times New Roman" w:hAnsi="Times New Roman" w:cs="Times New Roman"/>
        </w:rPr>
        <w:t xml:space="preserve"> </w:t>
      </w:r>
      <w:hyperlink r:id="rId10" w:history="1">
        <w:proofErr w:type="spellStart"/>
        <w:r w:rsidR="003E69BD" w:rsidRPr="003E69BD">
          <w:rPr>
            <w:rStyle w:val="Hyperlink"/>
            <w:rFonts w:ascii="Times New Roman" w:hAnsi="Times New Roman" w:cs="Times New Roman"/>
          </w:rPr>
          <w:t>PrankWeb</w:t>
        </w:r>
        <w:proofErr w:type="spellEnd"/>
      </w:hyperlink>
      <w:r w:rsidR="003E69BD">
        <w:rPr>
          <w:rFonts w:ascii="Times New Roman" w:hAnsi="Times New Roman" w:cs="Times New Roman"/>
        </w:rPr>
        <w:t xml:space="preserve"> (</w:t>
      </w:r>
      <w:hyperlink r:id="rId11" w:history="1">
        <w:r w:rsidR="003E69BD" w:rsidRPr="003E69BD">
          <w:rPr>
            <w:rStyle w:val="Hyperlink"/>
            <w:rFonts w:ascii="Times New Roman" w:hAnsi="Times New Roman" w:cs="Times New Roman"/>
          </w:rPr>
          <w:t>ref</w:t>
        </w:r>
      </w:hyperlink>
      <w:r w:rsidR="003E69BD">
        <w:rPr>
          <w:rFonts w:ascii="Times New Roman" w:hAnsi="Times New Roman" w:cs="Times New Roman"/>
        </w:rPr>
        <w:t>)</w:t>
      </w:r>
    </w:p>
    <w:p w14:paraId="52EB7977" w14:textId="4881E4A2" w:rsidR="005B3D59" w:rsidRDefault="005B3D59" w:rsidP="005B3D59">
      <w:pPr>
        <w:rPr>
          <w:rFonts w:ascii="Times New Roman" w:hAnsi="Times New Roman" w:cs="Times New Roman"/>
        </w:rPr>
      </w:pPr>
      <w:r>
        <w:rPr>
          <w:rFonts w:ascii="Times New Roman" w:hAnsi="Times New Roman" w:cs="Times New Roman"/>
        </w:rPr>
        <w:t>Description:</w:t>
      </w:r>
      <w:r w:rsidR="000C2595">
        <w:rPr>
          <w:rFonts w:ascii="Times New Roman" w:hAnsi="Times New Roman" w:cs="Times New Roman"/>
        </w:rPr>
        <w:t xml:space="preserve"> Identifies whether there are P2Rank pocket predictions for any PDB structure for this target (note that P2Rank predictions are not available over API for </w:t>
      </w:r>
      <w:proofErr w:type="gramStart"/>
      <w:r w:rsidR="000C2595">
        <w:rPr>
          <w:rFonts w:ascii="Times New Roman" w:hAnsi="Times New Roman" w:cs="Times New Roman"/>
        </w:rPr>
        <w:t>computationally-predicted</w:t>
      </w:r>
      <w:proofErr w:type="gramEnd"/>
      <w:r w:rsidR="000C2595">
        <w:rPr>
          <w:rFonts w:ascii="Times New Roman" w:hAnsi="Times New Roman" w:cs="Times New Roman"/>
        </w:rPr>
        <w:t xml:space="preserve"> pockets) and provides the probability score (from 0 to 1) of the highest-scoring pocket. These are </w:t>
      </w:r>
      <w:proofErr w:type="gramStart"/>
      <w:r w:rsidR="000C2595">
        <w:rPr>
          <w:rFonts w:ascii="Times New Roman" w:hAnsi="Times New Roman" w:cs="Times New Roman"/>
        </w:rPr>
        <w:t>computationally-predicted</w:t>
      </w:r>
      <w:proofErr w:type="gramEnd"/>
      <w:r w:rsidR="000C2595">
        <w:rPr>
          <w:rFonts w:ascii="Times New Roman" w:hAnsi="Times New Roman" w:cs="Times New Roman"/>
        </w:rPr>
        <w:t xml:space="preserve"> pockets based on a geometry-based pocket-finding strategy, scored by a random forest algorithm.</w:t>
      </w:r>
    </w:p>
    <w:p w14:paraId="2D9512CE" w14:textId="4522686F" w:rsidR="005B3D59" w:rsidRDefault="005B3D59" w:rsidP="005B3D59">
      <w:pPr>
        <w:rPr>
          <w:rFonts w:ascii="Times New Roman" w:hAnsi="Times New Roman" w:cs="Times New Roman"/>
        </w:rPr>
      </w:pPr>
      <w:r>
        <w:rPr>
          <w:rFonts w:ascii="Times New Roman" w:hAnsi="Times New Roman" w:cs="Times New Roman"/>
        </w:rPr>
        <w:t>Why this is useful:</w:t>
      </w:r>
      <w:r w:rsidR="000C2595">
        <w:rPr>
          <w:rFonts w:ascii="Times New Roman" w:hAnsi="Times New Roman" w:cs="Times New Roman"/>
        </w:rPr>
        <w:t xml:space="preserve"> P2Rank is an established pocket-finding method with good performance. It can be run on any protein structure (though it is easiest to access structures from the Protein Data Bank with the API, which is how we get scores in this script). Even if no ligand interaction has been observed through experimental structures, identifying a likely binding pocket on the surface of the protein is a useful starting point for assessing </w:t>
      </w:r>
      <w:proofErr w:type="spellStart"/>
      <w:r w:rsidR="000C2595">
        <w:rPr>
          <w:rFonts w:ascii="Times New Roman" w:hAnsi="Times New Roman" w:cs="Times New Roman"/>
        </w:rPr>
        <w:t>druggability</w:t>
      </w:r>
      <w:proofErr w:type="spellEnd"/>
      <w:r w:rsidR="000C2595">
        <w:rPr>
          <w:rFonts w:ascii="Times New Roman" w:hAnsi="Times New Roman" w:cs="Times New Roman"/>
        </w:rPr>
        <w:t>.</w:t>
      </w:r>
    </w:p>
    <w:p w14:paraId="653890DE" w14:textId="5F15BD0E" w:rsidR="005B3D59" w:rsidRDefault="005B3D59" w:rsidP="005B3D59">
      <w:pPr>
        <w:rPr>
          <w:rFonts w:ascii="Times New Roman" w:hAnsi="Times New Roman" w:cs="Times New Roman"/>
        </w:rPr>
      </w:pPr>
      <w:r>
        <w:rPr>
          <w:rFonts w:ascii="Times New Roman" w:hAnsi="Times New Roman" w:cs="Times New Roman"/>
        </w:rPr>
        <w:t>Relevant existing OTP annotations:</w:t>
      </w:r>
      <w:r w:rsidR="00087F7A">
        <w:rPr>
          <w:rFonts w:ascii="Times New Roman" w:hAnsi="Times New Roman" w:cs="Times New Roman"/>
        </w:rPr>
        <w:t xml:space="preserve"> “</w:t>
      </w:r>
      <w:r w:rsidR="007B1CF4">
        <w:rPr>
          <w:rFonts w:ascii="Times New Roman" w:hAnsi="Times New Roman" w:cs="Times New Roman"/>
        </w:rPr>
        <w:t xml:space="preserve">High-Quality Pocket” and “Med-Quality Pocket” are the closest OTP tractability annotations. OTP currently uses the pocket finding method </w:t>
      </w:r>
      <w:proofErr w:type="spellStart"/>
      <w:r w:rsidR="007B1CF4">
        <w:rPr>
          <w:rFonts w:ascii="Times New Roman" w:hAnsi="Times New Roman" w:cs="Times New Roman"/>
        </w:rPr>
        <w:t>DrugEBIlity</w:t>
      </w:r>
      <w:proofErr w:type="spellEnd"/>
      <w:r w:rsidR="007B1CF4">
        <w:rPr>
          <w:rFonts w:ascii="Times New Roman" w:hAnsi="Times New Roman" w:cs="Times New Roman"/>
        </w:rPr>
        <w:t xml:space="preserve">. While there are no evaluations that directly compare P2Rank and </w:t>
      </w:r>
      <w:proofErr w:type="spellStart"/>
      <w:r w:rsidR="007B1CF4">
        <w:rPr>
          <w:rFonts w:ascii="Times New Roman" w:hAnsi="Times New Roman" w:cs="Times New Roman"/>
        </w:rPr>
        <w:t>DrugEBIlity</w:t>
      </w:r>
      <w:proofErr w:type="spellEnd"/>
      <w:r w:rsidR="007B1CF4">
        <w:rPr>
          <w:rFonts w:ascii="Times New Roman" w:hAnsi="Times New Roman" w:cs="Times New Roman"/>
        </w:rPr>
        <w:t xml:space="preserve">, adding another pocket prediction method may add value. Additionally, the </w:t>
      </w:r>
      <w:proofErr w:type="spellStart"/>
      <w:r w:rsidR="007B1CF4" w:rsidRPr="00F13CCC">
        <w:rPr>
          <w:rFonts w:ascii="Courier New" w:hAnsi="Courier New" w:cs="Courier New"/>
        </w:rPr>
        <w:t>has_prank_pdb_pocket</w:t>
      </w:r>
      <w:proofErr w:type="spellEnd"/>
      <w:r w:rsidR="007B1CF4">
        <w:rPr>
          <w:rFonts w:ascii="Times New Roman" w:hAnsi="Times New Roman" w:cs="Times New Roman"/>
        </w:rPr>
        <w:t xml:space="preserve"> column returns a probability-based pocket score instead of a categorical score of “High” or “Med” which may aid comparison.</w:t>
      </w:r>
      <w:r w:rsidR="00F13CCC">
        <w:rPr>
          <w:rFonts w:ascii="Times New Roman" w:hAnsi="Times New Roman" w:cs="Times New Roman"/>
        </w:rPr>
        <w:t xml:space="preserve"> The P2Rank algorithm is described in a published manuscript and can be used for any protein structure, whereas there does not appear to be documentation for </w:t>
      </w:r>
      <w:proofErr w:type="spellStart"/>
      <w:r w:rsidR="00F13CCC">
        <w:rPr>
          <w:rFonts w:ascii="Times New Roman" w:hAnsi="Times New Roman" w:cs="Times New Roman"/>
        </w:rPr>
        <w:t>DrugEBIlity</w:t>
      </w:r>
      <w:proofErr w:type="spellEnd"/>
      <w:r w:rsidR="00F13CCC">
        <w:rPr>
          <w:rFonts w:ascii="Times New Roman" w:hAnsi="Times New Roman" w:cs="Times New Roman"/>
        </w:rPr>
        <w:t xml:space="preserve"> publicly available online.</w:t>
      </w:r>
    </w:p>
    <w:p w14:paraId="310A7A0F" w14:textId="77777777" w:rsidR="005B3D59" w:rsidRPr="005B3D59" w:rsidRDefault="005B3D59">
      <w:pPr>
        <w:rPr>
          <w:rFonts w:ascii="Courier New" w:hAnsi="Courier New" w:cs="Courier New"/>
        </w:rPr>
      </w:pPr>
    </w:p>
    <w:sectPr w:rsidR="005B3D59" w:rsidRPr="005B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59"/>
    <w:rsid w:val="00087F7A"/>
    <w:rsid w:val="000C2595"/>
    <w:rsid w:val="00145AE4"/>
    <w:rsid w:val="003E69BD"/>
    <w:rsid w:val="004B4A31"/>
    <w:rsid w:val="005B3D59"/>
    <w:rsid w:val="007B1CF4"/>
    <w:rsid w:val="008F3490"/>
    <w:rsid w:val="00D3375F"/>
    <w:rsid w:val="00D82C0E"/>
    <w:rsid w:val="00F1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710567"/>
  <w15:chartTrackingRefBased/>
  <w15:docId w15:val="{CAAF2B3E-15AC-204C-8BB4-76D24E00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D59"/>
    <w:rPr>
      <w:rFonts w:eastAsiaTheme="majorEastAsia" w:cstheme="majorBidi"/>
      <w:color w:val="272727" w:themeColor="text1" w:themeTint="D8"/>
    </w:rPr>
  </w:style>
  <w:style w:type="paragraph" w:styleId="Title">
    <w:name w:val="Title"/>
    <w:basedOn w:val="Normal"/>
    <w:next w:val="Normal"/>
    <w:link w:val="TitleChar"/>
    <w:uiPriority w:val="10"/>
    <w:qFormat/>
    <w:rsid w:val="005B3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D59"/>
    <w:pPr>
      <w:spacing w:before="160"/>
      <w:jc w:val="center"/>
    </w:pPr>
    <w:rPr>
      <w:i/>
      <w:iCs/>
      <w:color w:val="404040" w:themeColor="text1" w:themeTint="BF"/>
    </w:rPr>
  </w:style>
  <w:style w:type="character" w:customStyle="1" w:styleId="QuoteChar">
    <w:name w:val="Quote Char"/>
    <w:basedOn w:val="DefaultParagraphFont"/>
    <w:link w:val="Quote"/>
    <w:uiPriority w:val="29"/>
    <w:rsid w:val="005B3D59"/>
    <w:rPr>
      <w:i/>
      <w:iCs/>
      <w:color w:val="404040" w:themeColor="text1" w:themeTint="BF"/>
    </w:rPr>
  </w:style>
  <w:style w:type="paragraph" w:styleId="ListParagraph">
    <w:name w:val="List Paragraph"/>
    <w:basedOn w:val="Normal"/>
    <w:uiPriority w:val="34"/>
    <w:qFormat/>
    <w:rsid w:val="005B3D59"/>
    <w:pPr>
      <w:ind w:left="720"/>
      <w:contextualSpacing/>
    </w:pPr>
  </w:style>
  <w:style w:type="character" w:styleId="IntenseEmphasis">
    <w:name w:val="Intense Emphasis"/>
    <w:basedOn w:val="DefaultParagraphFont"/>
    <w:uiPriority w:val="21"/>
    <w:qFormat/>
    <w:rsid w:val="005B3D59"/>
    <w:rPr>
      <w:i/>
      <w:iCs/>
      <w:color w:val="0F4761" w:themeColor="accent1" w:themeShade="BF"/>
    </w:rPr>
  </w:style>
  <w:style w:type="paragraph" w:styleId="IntenseQuote">
    <w:name w:val="Intense Quote"/>
    <w:basedOn w:val="Normal"/>
    <w:next w:val="Normal"/>
    <w:link w:val="IntenseQuoteChar"/>
    <w:uiPriority w:val="30"/>
    <w:qFormat/>
    <w:rsid w:val="005B3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D59"/>
    <w:rPr>
      <w:i/>
      <w:iCs/>
      <w:color w:val="0F4761" w:themeColor="accent1" w:themeShade="BF"/>
    </w:rPr>
  </w:style>
  <w:style w:type="character" w:styleId="IntenseReference">
    <w:name w:val="Intense Reference"/>
    <w:basedOn w:val="DefaultParagraphFont"/>
    <w:uiPriority w:val="32"/>
    <w:qFormat/>
    <w:rsid w:val="005B3D59"/>
    <w:rPr>
      <w:b/>
      <w:bCs/>
      <w:smallCaps/>
      <w:color w:val="0F4761" w:themeColor="accent1" w:themeShade="BF"/>
      <w:spacing w:val="5"/>
    </w:rPr>
  </w:style>
  <w:style w:type="paragraph" w:styleId="Date">
    <w:name w:val="Date"/>
    <w:basedOn w:val="Normal"/>
    <w:next w:val="Normal"/>
    <w:link w:val="DateChar"/>
    <w:uiPriority w:val="99"/>
    <w:semiHidden/>
    <w:unhideWhenUsed/>
    <w:rsid w:val="005B3D59"/>
  </w:style>
  <w:style w:type="character" w:customStyle="1" w:styleId="DateChar">
    <w:name w:val="Date Char"/>
    <w:basedOn w:val="DefaultParagraphFont"/>
    <w:link w:val="Date"/>
    <w:uiPriority w:val="99"/>
    <w:semiHidden/>
    <w:rsid w:val="005B3D59"/>
  </w:style>
  <w:style w:type="character" w:styleId="Hyperlink">
    <w:name w:val="Hyperlink"/>
    <w:basedOn w:val="DefaultParagraphFont"/>
    <w:uiPriority w:val="99"/>
    <w:unhideWhenUsed/>
    <w:rsid w:val="004B4A31"/>
    <w:rPr>
      <w:color w:val="467886" w:themeColor="hyperlink"/>
      <w:u w:val="single"/>
    </w:rPr>
  </w:style>
  <w:style w:type="character" w:styleId="UnresolvedMention">
    <w:name w:val="Unresolved Mention"/>
    <w:basedOn w:val="DefaultParagraphFont"/>
    <w:uiPriority w:val="99"/>
    <w:semiHidden/>
    <w:unhideWhenUsed/>
    <w:rsid w:val="004B4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anggroup.org/BioLi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cademic.oup.com/nar/advance-article/doi/10.1093/nar/gkab1061/643048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phafold.ebi.ac.uk/" TargetMode="External"/><Relationship Id="rId11" Type="http://schemas.openxmlformats.org/officeDocument/2006/relationships/hyperlink" Target="https://jcheminf.biomedcentral.com/articles/10.1186/s13321-018-0285-8" TargetMode="External"/><Relationship Id="rId5" Type="http://schemas.openxmlformats.org/officeDocument/2006/relationships/hyperlink" Target="https://doi.org/10.1093/nar/28.1.235" TargetMode="External"/><Relationship Id="rId10" Type="http://schemas.openxmlformats.org/officeDocument/2006/relationships/hyperlink" Target="https://prankweb.cz/" TargetMode="External"/><Relationship Id="rId4" Type="http://schemas.openxmlformats.org/officeDocument/2006/relationships/hyperlink" Target="https://www.rcsb.org/" TargetMode="External"/><Relationship Id="rId9" Type="http://schemas.openxmlformats.org/officeDocument/2006/relationships/hyperlink" Target="https://academic.oup.com/nar/article/52/D1/D404/7233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Ame Carpenter</dc:creator>
  <cp:keywords/>
  <dc:description/>
  <cp:lastModifiedBy>Kristy Ame Carpenter</cp:lastModifiedBy>
  <cp:revision>4</cp:revision>
  <dcterms:created xsi:type="dcterms:W3CDTF">2025-05-14T17:30:00Z</dcterms:created>
  <dcterms:modified xsi:type="dcterms:W3CDTF">2025-05-14T21:21:00Z</dcterms:modified>
</cp:coreProperties>
</file>