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foot.xml"/>
  <Override ContentType="application/vnd.openxmlformats-officedocument.wordprocessingml.header+xml" PartName="/word/header-head.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sectPr>
          <w:headerReference w:type="default" r:id="rId3"/>
          <w:footerReference w:type="default" r:id="rId4"/>
          <w:type w:val="continuous"/>
          <w:pgSz w:w="11907" w:h="16839" w:code="9"/>
          <w:pgMar w:top="1440" w:right="1440" w:bottom="1440" w:left="1440"/>
          <w:pgNumType w:fmt="decimal"/>
        </w:sectPr>
      </w:pPr>
    </w:p>
    <w:p>
      <w:r>
        <w:t/>
      </w:r>
    </w:p>
    <w:p>
      <w:pPr>
        <w:pStyle w:val="Title"/>
        <w:jc w:val="center"/>
        <w:rPr>
          <w:rFonts w:ascii="Calibri" w:hAnsi="Calibri" w:eastAsia="Calibri" w:cs="Calibri"/>
          <w:sz w:val="72"/>
        </w:rPr>
      </w:pPr>
      <w:r>
        <w:t/>
      </w:r>
      <w:r>
        <w:t xml:space="preserve"/>
      </w:r>
      <w:r>
        <w:rPr>
          <w:rFonts w:ascii="Calibri" w:hAnsi="Calibri" w:eastAsia="Calibri" w:cs="Calibri"/>
          <w:sz w:val="72"/>
        </w:rPr>
        <w:t xml:space="preserve">Statistical Report for the EXAMPLE trial</w:t>
      </w:r>
    </w:p>
    <w:p>
      <w:pPr>
        <w:pStyle w:val="Subtitle"/>
        <w:jc w:val="center"/>
        <w:rPr>
          <w:rFonts w:ascii="Calibri" w:hAnsi="Calibri" w:eastAsia="Calibri" w:cs="Calibri"/>
          <w:color w:val="000000"/>
          <w:sz w:val="32"/>
        </w:rPr>
      </w:pPr>
      <w:r>
        <w:t/>
      </w:r>
      <w:r>
        <w:t xml:space="preserve"/>
      </w:r>
      <w:r>
        <w:rPr>
          <w:rFonts w:ascii="Calibri" w:hAnsi="Calibri" w:eastAsia="Calibri" w:cs="Calibri"/>
          <w:color w:val="000000"/>
          <w:sz w:val="32"/>
        </w:rPr>
        <w:t xml:space="preserve">Dr Anurika De Silva</w:t>
        <w:br w:type="textWrapping"/>
        <w:br w:type="textWrapping"/>
        <w:br w:type="textWrapping"/>
        <w:br w:type="textWrapping"/>
      </w:r>
    </w:p>
    <w:p>
      <w:pPr>
        <w:jc w:val="center"/>
        <w:rPr>
          <w:rFonts w:ascii="Calibri" w:hAnsi="Calibri" w:eastAsia="Calibri" w:cs="Calibri"/>
          <w:sz w:val="24"/>
        </w:rPr>
      </w:pPr>
      <w:r>
        <w:t/>
      </w:r>
      <w:r>
        <w:rPr>
          <w:rFonts w:ascii="Calibri" w:hAnsi="Calibri" w:eastAsia="Calibri" w:cs="Calibri"/>
          <w:sz w:val="24"/>
        </w:rPr>
        <w:t xml:space="preserve">Last compiled on 10 February 2023</w:t>
      </w:r>
    </w:p>
    <w:p>
      <w:pPr>
        <w:sectPr>
          <w:type w:val="continuous"/>
          <w:pgSz w:w="11907" w:h="16839" w:code="9"/>
          <w:pgMar w:top="1440" w:right="1440" w:bottom="1440" w:left="1440"/>
          <w:pgNumType w:fmt="decimal"/>
        </w:sectPr>
      </w:pPr>
    </w:p>
    <w:p>
      <w:r>
        <w:br w:type="page"/>
      </w:r>
    </w:p>
    <w:p>
      <w:r>
        <w:t/>
      </w:r>
      <w:r>
        <w:rPr>
          <w:color w:val="FF0000"/>
        </w:rPr>
        <w:t xml:space="preserve">Placeholder for table of contents - remove text after inserting</w:t>
        <w:br w:type="textWrapping"/>
        <w:br w:type="textWrapping"/>
        <w:br w:type="textWrapping"/>
        <w:br w:type="textWrapping"/>
        <w:br w:type="textWrapping"/>
      </w:r>
    </w:p>
    <w:p>
      <w:pPr>
        <w:pStyle w:val="Heading2"/>
      </w:pPr>
      <w:r>
        <w:t/>
      </w:r>
      <w:r>
        <w:t xml:space="preserve"/>
      </w:r>
      <w:r>
        <w:t xml:space="preserve">1.1 List of figures</w:t>
        <w:br w:type="textWrapping"/>
        <w:br w:type="textWrapping"/>
        <w:br w:type="textWrapping"/>
        <w:br w:type="textWrapping"/>
        <w:br w:type="textWrapping"/>
      </w:r>
    </w:p>
    <w:p>
      <w:pPr>
        <w:pStyle w:val="Heading2"/>
      </w:pPr>
      <w:r>
        <w:t/>
      </w:r>
      <w:r>
        <w:t xml:space="preserve"/>
      </w:r>
      <w:r>
        <w:t xml:space="preserve">1.2 List of tables</w:t>
        <w:br w:type="textWrapping"/>
        <w:br w:type="textWrapping"/>
        <w:br w:type="textWrapping"/>
        <w:br w:type="textWrapping"/>
        <w:br w:type="textWrapping"/>
      </w:r>
    </w:p>
    <w:p>
      <w:pPr>
        <w:sectPr>
          <w:type w:val="continuous"/>
          <w:pgSz w:w="11907" w:h="16839" w:code="9"/>
          <w:pgMar w:top="1440" w:right="1440" w:bottom="1440" w:left="1440"/>
          <w:pgNumType w:fmt="decimal"/>
        </w:sectPr>
      </w:pPr>
    </w:p>
    <w:p>
      <w:r>
        <w:br w:type="page"/>
      </w:r>
    </w:p>
    <w:p>
      <w:pPr>
        <w:pStyle w:val="Heading1"/>
      </w:pPr>
      <w:r>
        <w:t/>
      </w:r>
      <w:r>
        <w:t xml:space="preserve"/>
      </w:r>
      <w:r>
        <w:t xml:space="preserve">2. Introduction</w:t>
      </w:r>
    </w:p>
    <w:p>
      <w:pPr>
        <w:jc w:val="both"/>
      </w:pPr>
      <w:r>
        <w:t/>
      </w:r>
      <w:r>
        <w:t xml:space="preserve">Normal cells become cancer cells via a succession of genomic alterations. This finding has led to the development of molecularly targeted agents that inhibit the proteins that are abnormally activated as a result of somatic genetic alterations. Theoretically, these agents are more specific to cancer cells than are cytotoxic agents that target cell replication. Some of these molecularly targeted agents have yielded previously unprecedented anti-tumour activity in specific tumour types in the presence of the matching molecular alteration. Molecularly targeted agents have followed the same clinical development process as cytotoxic agents: per tumour location and histology. Most genetic molecular alterations exist across tumour types and histologies, although incidence varies. This observation challenges the existing drug development strategies for molecularly targeted agents and raises the possibility of a shift towards histology-agnostic molecularly based treatment with these drugs.</w:t>
      </w:r>
    </w:p>
    <w:p>
      <w:pPr>
        <w:sectPr>
          <w:type w:val="continuous"/>
          <w:pgSz w:w="11907" w:h="16839" w:code="9"/>
          <w:pgMar w:top="1440" w:right="1440" w:bottom="1440" w:left="1440"/>
          <w:pgNumType w:fmt="decimal"/>
        </w:sectPr>
      </w:pPr>
    </w:p>
    <w:p>
      <w:pPr>
        <w:pStyle w:val="Heading1"/>
      </w:pPr>
      <w:r>
        <w:t/>
      </w:r>
      <w:r>
        <w:t xml:space="preserve"/>
      </w:r>
      <w:r>
        <w:t xml:space="preserve">3. Baseline characteristics</w:t>
      </w:r>
    </w:p>
    <w:p>
      <w:pPr>
        <w:sectPr>
          <w:type w:val="continuous"/>
          <w:pgSz w:w="11907" w:h="16839" w:code="9"/>
          <w:pgMar w:top="1440" w:right="1440" w:bottom="1440" w:left="1440"/>
          <w:pgNumType w:fmt="decimal"/>
        </w:sectPr>
      </w:pPr>
    </w:p>
    <w:tbl>
      <w:tblPr>
        <w:tblStyle w:val="TableGrid"/>
        <w:tblW w:w="0" w:type="auto"/>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340"/>
        <w:gridCol w:w="2340"/>
        <w:gridCol w:w="2340"/>
        <w:gridCol w:w="2340"/>
      </w:tblGrid>
      <w:tr>
        <w:tc>
          <w:tcPr>
            <w:gridSpan w:val="4"/>
            <w:tcBorders>
              <w:top w:val="nil" w:color="000000"/>
              <w:left w:val="nil" w:color="000000"/>
              <w:bottom w:val="single" w:color="000000"/>
              <w:right w:val="nil" w:color="000000"/>
            </w:tcBorders>
          </w:tcPr>
          <w:p>
            <w:pPr>
              <w:spacing w:after="0"/>
            </w:pPr>
            <w:r>
              <w:rPr>
                <w:rFonts w:ascii="Calibri" w:hAnsi="Calibri" w:eastAsia="Calibri" w:cs="Calibri"/>
                <w:b w:val="true"/>
                <w:sz w:val="24"/>
              </w:rPr>
              <w:t xml:space="preserve">Table 1: Baseline characteristics</w:t>
            </w:r>
          </w:p>
        </w:tc>
      </w:tr>
      <w:tr>
        <w:tc>
          <w:tcPr>
            <w:tcW w:w="0" w:type="auto"/>
            <w:tcBorders>
              <w:top w:val="single" w:color="000000"/>
            </w:tcBorders>
          </w:tcPr>
          <w:p>
            <w:pPr>
              <w:spacing w:after="0"/>
            </w:pPr>
            <w:r>
              <w:rPr>
                <w:b w:val="true"/>
              </w:rPr>
              <w:t xml:space="preserve"> </w:t>
            </w:r>
          </w:p>
        </w:tc>
        <w:tc>
          <w:tcPr>
            <w:tcW w:w="0" w:type="auto"/>
            <w:tcBorders>
              <w:top w:val="single" w:color="000000"/>
            </w:tcBorders>
          </w:tcPr>
          <w:p>
            <w:pPr>
              <w:spacing w:after="0"/>
            </w:pPr>
            <w:r>
              <w:rPr>
                <w:b w:val="true"/>
              </w:rPr>
              <w:t xml:space="preserve">CT</w:t>
            </w:r>
          </w:p>
        </w:tc>
        <w:tc>
          <w:tcPr>
            <w:tcW w:w="0" w:type="auto"/>
            <w:tcBorders>
              <w:top w:val="single" w:color="000000"/>
            </w:tcBorders>
          </w:tcPr>
          <w:p>
            <w:pPr>
              <w:spacing w:after="0"/>
            </w:pPr>
            <w:r>
              <w:rPr>
                <w:b w:val="true"/>
              </w:rPr>
              <w:t xml:space="preserve">MTA</w:t>
            </w:r>
          </w:p>
        </w:tc>
        <w:tc>
          <w:tcPr>
            <w:tcW w:w="0" w:type="auto"/>
            <w:tcBorders>
              <w:top w:val="single" w:color="000000"/>
            </w:tcBorders>
          </w:tcPr>
          <w:p>
            <w:pPr>
              <w:spacing w:after="0"/>
            </w:pPr>
            <w:r>
              <w:rPr>
                <w:b w:val="true"/>
              </w:rPr>
              <w:t xml:space="preserve">Total</w:t>
            </w:r>
          </w:p>
        </w:tc>
      </w:tr>
      <w:tr>
        <w:tc>
          <w:tcPr>
            <w:tcW w:w="0" w:type="auto"/>
            <w:tcBorders>
              <w:bottom w:val="single" w:color="000000"/>
            </w:tcBorders>
          </w:tcPr>
          <w:p>
            <w:pPr>
              <w:spacing w:after="0"/>
            </w:pPr>
            <w:r>
              <w:rPr>
                <w:b w:val="true"/>
              </w:rPr>
              <w:t xml:space="preserve"/>
            </w:r>
          </w:p>
        </w:tc>
        <w:tc>
          <w:tcPr>
            <w:tcW w:w="0" w:type="auto"/>
            <w:tcBorders>
              <w:bottom w:val="single" w:color="000000"/>
            </w:tcBorders>
          </w:tcPr>
          <w:p>
            <w:pPr>
              <w:spacing w:after="0"/>
            </w:pPr>
            <w:r>
              <w:rPr>
                <w:b w:val="true"/>
              </w:rPr>
              <w:t xml:space="preserve">N=97</w:t>
            </w:r>
          </w:p>
        </w:tc>
        <w:tc>
          <w:tcPr>
            <w:tcW w:w="0" w:type="auto"/>
            <w:tcBorders>
              <w:bottom w:val="single" w:color="000000"/>
            </w:tcBorders>
          </w:tcPr>
          <w:p>
            <w:pPr>
              <w:spacing w:after="0"/>
            </w:pPr>
            <w:r>
              <w:rPr>
                <w:b w:val="true"/>
              </w:rPr>
              <w:t xml:space="preserve">N=100</w:t>
            </w:r>
          </w:p>
        </w:tc>
        <w:tc>
          <w:tcPr>
            <w:tcW w:w="0" w:type="auto"/>
            <w:tcBorders>
              <w:bottom w:val="single" w:color="000000"/>
            </w:tcBorders>
          </w:tcPr>
          <w:p>
            <w:pPr>
              <w:spacing w:after="0"/>
            </w:pPr>
            <w:r>
              <w:rPr>
                <w:b w:val="true"/>
              </w:rPr>
              <w:t xml:space="preserve">N=197</w:t>
            </w:r>
          </w:p>
        </w:tc>
      </w:tr>
      <w:tr>
        <w:tc>
          <w:tcPr>
            <w:tcW w:w="0" w:type="auto"/>
            <w:tcBorders>
              <w:top w:val="single" w:color="000000"/>
            </w:tcBorders>
          </w:tcPr>
          <w:p>
            <w:pPr>
              <w:spacing w:after="0"/>
            </w:pPr>
            <w:r>
              <w:t xml:space="preserve">Sex, n (%)</w:t>
            </w:r>
          </w:p>
        </w:tc>
        <w:tc>
          <w:tcPr>
            <w:tcW w:w="0" w:type="auto"/>
            <w:tcBorders>
              <w:top w:val="single" w:color="000000"/>
            </w:tcBorders>
          </w:tcPr>
          <w:p>
            <w:pPr>
              <w:spacing w:after="0"/>
            </w:pPr>
            <w:r>
              <w:t xml:space="preserve"/>
            </w:r>
          </w:p>
        </w:tc>
        <w:tc>
          <w:tcPr>
            <w:tcW w:w="0" w:type="auto"/>
            <w:tcBorders>
              <w:top w:val="single" w:color="000000"/>
            </w:tcBorders>
          </w:tcPr>
          <w:p>
            <w:pPr>
              <w:spacing w:after="0"/>
            </w:pPr>
            <w:r>
              <w:t xml:space="preserve"/>
            </w:r>
          </w:p>
        </w:tc>
        <w:tc>
          <w:tcPr>
            <w:tcW w:w="0" w:type="auto"/>
            <w:tcBorders>
              <w:top w:val="single" w:color="000000"/>
            </w:tcBorders>
          </w:tcPr>
          <w:p>
            <w:pPr>
              <w:spacing w:after="0"/>
            </w:pPr>
            <w:r>
              <w:t xml:space="preserve"/>
            </w:r>
          </w:p>
        </w:tc>
      </w:tr>
      <w:tr>
        <w:tc>
          <w:tcPr>
            <w:tcW w:w="0" w:type="auto"/>
          </w:tcPr>
          <w:p>
            <w:pPr>
              <w:spacing w:after="0"/>
            </w:pPr>
            <w:r>
              <w:t xml:space="preserve">   Female</w:t>
            </w:r>
          </w:p>
        </w:tc>
        <w:tc>
          <w:tcPr>
            <w:tcW w:w="0" w:type="auto"/>
          </w:tcPr>
          <w:p>
            <w:pPr>
              <w:spacing w:after="0"/>
            </w:pPr>
            <w:r>
              <w:t xml:space="preserve">69 (71.1%)</w:t>
            </w:r>
          </w:p>
        </w:tc>
        <w:tc>
          <w:tcPr>
            <w:tcW w:w="0" w:type="auto"/>
          </w:tcPr>
          <w:p>
            <w:pPr>
              <w:spacing w:after="0"/>
            </w:pPr>
            <w:r>
              <w:t xml:space="preserve">60 (60.0%)</w:t>
            </w:r>
          </w:p>
        </w:tc>
        <w:tc>
          <w:tcPr>
            <w:tcW w:w="0" w:type="auto"/>
          </w:tcPr>
          <w:p>
            <w:pPr>
              <w:spacing w:after="0"/>
            </w:pPr>
            <w:r>
              <w:t xml:space="preserve">129 (65.5%)</w:t>
            </w:r>
          </w:p>
        </w:tc>
      </w:tr>
      <w:tr>
        <w:tc>
          <w:tcPr>
            <w:tcW w:w="0" w:type="auto"/>
          </w:tcPr>
          <w:p>
            <w:pPr>
              <w:spacing w:after="0"/>
            </w:pPr>
            <w:r>
              <w:t xml:space="preserve">   Male</w:t>
            </w:r>
          </w:p>
        </w:tc>
        <w:tc>
          <w:tcPr>
            <w:tcW w:w="0" w:type="auto"/>
          </w:tcPr>
          <w:p>
            <w:pPr>
              <w:spacing w:after="0"/>
            </w:pPr>
            <w:r>
              <w:t xml:space="preserve">28 (28.9%)</w:t>
            </w:r>
          </w:p>
        </w:tc>
        <w:tc>
          <w:tcPr>
            <w:tcW w:w="0" w:type="auto"/>
          </w:tcPr>
          <w:p>
            <w:pPr>
              <w:spacing w:after="0"/>
            </w:pPr>
            <w:r>
              <w:t xml:space="preserve">40 (40.0%)</w:t>
            </w:r>
          </w:p>
        </w:tc>
        <w:tc>
          <w:tcPr>
            <w:tcW w:w="0" w:type="auto"/>
          </w:tcPr>
          <w:p>
            <w:pPr>
              <w:spacing w:after="0"/>
            </w:pPr>
            <w:r>
              <w:t xml:space="preserve">68 (34.5%)</w:t>
            </w:r>
          </w:p>
        </w:tc>
      </w:tr>
      <w:tr>
        <w:tc>
          <w:tcPr>
            <w:tcW w:w="0" w:type="auto"/>
          </w:tcPr>
          <w:p>
            <w:pPr>
              <w:spacing w:after="0"/>
            </w:pPr>
            <w:r>
              <w:t xml:space="preserve">Age (years), mean (SD)</w:t>
            </w:r>
          </w:p>
        </w:tc>
        <w:tc>
          <w:tcPr>
            <w:tcW w:w="0" w:type="auto"/>
          </w:tcPr>
          <w:p>
            <w:pPr>
              <w:spacing w:after="0"/>
            </w:pPr>
            <w:r>
              <w:t xml:space="preserve">60.4 (12.0)</w:t>
            </w:r>
          </w:p>
        </w:tc>
        <w:tc>
          <w:tcPr>
            <w:tcW w:w="0" w:type="auto"/>
          </w:tcPr>
          <w:p>
            <w:pPr>
              <w:spacing w:after="0"/>
            </w:pPr>
            <w:r>
              <w:t xml:space="preserve">59.8 (10.6)</w:t>
            </w:r>
          </w:p>
        </w:tc>
        <w:tc>
          <w:tcPr>
            <w:tcW w:w="0" w:type="auto"/>
          </w:tcPr>
          <w:p>
            <w:pPr>
              <w:spacing w:after="0"/>
            </w:pPr>
            <w:r>
              <w:t xml:space="preserve">60.1 (11.3)</w:t>
            </w:r>
          </w:p>
        </w:tc>
      </w:tr>
      <w:tr>
        <w:tc>
          <w:tcPr>
            <w:tcW w:w="0" w:type="auto"/>
          </w:tcPr>
          <w:p>
            <w:pPr>
              <w:spacing w:after="0"/>
            </w:pPr>
            <w:r>
              <w:t xml:space="preserve">Molecular pathway altered, n (%)</w:t>
            </w:r>
          </w:p>
        </w:tc>
        <w:tc>
          <w:tcPr>
            <w:tcW w:w="0" w:type="auto"/>
          </w:tcPr>
          <w:p>
            <w:pPr>
              <w:spacing w:after="0"/>
            </w:pPr>
            <w:r>
              <w:t xml:space="preserve"/>
            </w:r>
          </w:p>
        </w:tc>
        <w:tc>
          <w:tcPr>
            <w:tcW w:w="0" w:type="auto"/>
          </w:tcPr>
          <w:p>
            <w:pPr>
              <w:spacing w:after="0"/>
            </w:pPr>
            <w:r>
              <w:t xml:space="preserve"/>
            </w:r>
          </w:p>
        </w:tc>
        <w:tc>
          <w:tcPr>
            <w:tcW w:w="0" w:type="auto"/>
          </w:tcPr>
          <w:p>
            <w:pPr>
              <w:spacing w:after="0"/>
            </w:pPr>
            <w:r>
              <w:t xml:space="preserve"/>
            </w:r>
          </w:p>
        </w:tc>
      </w:tr>
      <w:tr>
        <w:tc>
          <w:tcPr>
            <w:tcW w:w="0" w:type="auto"/>
          </w:tcPr>
          <w:p>
            <w:pPr>
              <w:spacing w:after="0"/>
            </w:pPr>
            <w:r>
              <w:t xml:space="preserve">   Hormone receptor pathway</w:t>
            </w:r>
          </w:p>
        </w:tc>
        <w:tc>
          <w:tcPr>
            <w:tcW w:w="0" w:type="auto"/>
          </w:tcPr>
          <w:p>
            <w:pPr>
              <w:spacing w:after="0"/>
            </w:pPr>
            <w:r>
              <w:t xml:space="preserve">43 (44.3%)</w:t>
            </w:r>
          </w:p>
        </w:tc>
        <w:tc>
          <w:tcPr>
            <w:tcW w:w="0" w:type="auto"/>
          </w:tcPr>
          <w:p>
            <w:pPr>
              <w:spacing w:after="0"/>
            </w:pPr>
            <w:r>
              <w:t xml:space="preserve">41 (41.0%)</w:t>
            </w:r>
          </w:p>
        </w:tc>
        <w:tc>
          <w:tcPr>
            <w:tcW w:w="0" w:type="auto"/>
          </w:tcPr>
          <w:p>
            <w:pPr>
              <w:spacing w:after="0"/>
            </w:pPr>
            <w:r>
              <w:t xml:space="preserve">84 (42.6%)</w:t>
            </w:r>
          </w:p>
        </w:tc>
      </w:tr>
      <w:tr>
        <w:tc>
          <w:tcPr>
            <w:tcW w:w="0" w:type="auto"/>
          </w:tcPr>
          <w:p>
            <w:pPr>
              <w:spacing w:after="0"/>
            </w:pPr>
            <w:r>
              <w:t xml:space="preserve">   RAF/MEK pathway</w:t>
            </w:r>
          </w:p>
        </w:tc>
        <w:tc>
          <w:tcPr>
            <w:tcW w:w="0" w:type="auto"/>
          </w:tcPr>
          <w:p>
            <w:pPr>
              <w:spacing w:after="0"/>
            </w:pPr>
            <w:r>
              <w:t xml:space="preserve">11 (11.3%)</w:t>
            </w:r>
          </w:p>
        </w:tc>
        <w:tc>
          <w:tcPr>
            <w:tcW w:w="0" w:type="auto"/>
          </w:tcPr>
          <w:p>
            <w:pPr>
              <w:spacing w:after="0"/>
            </w:pPr>
            <w:r>
              <w:t xml:space="preserve">13 (13.0%)</w:t>
            </w:r>
          </w:p>
        </w:tc>
        <w:tc>
          <w:tcPr>
            <w:tcW w:w="0" w:type="auto"/>
          </w:tcPr>
          <w:p>
            <w:pPr>
              <w:spacing w:after="0"/>
            </w:pPr>
            <w:r>
              <w:t xml:space="preserve">24 (12.2%)</w:t>
            </w:r>
          </w:p>
        </w:tc>
      </w:tr>
      <w:tr>
        <w:tc>
          <w:tcPr>
            <w:tcW w:w="0" w:type="auto"/>
          </w:tcPr>
          <w:p>
            <w:pPr>
              <w:spacing w:after="0"/>
            </w:pPr>
            <w:r>
              <w:t xml:space="preserve">   PI3K/AKT/mTOR pathway</w:t>
            </w:r>
          </w:p>
        </w:tc>
        <w:tc>
          <w:tcPr>
            <w:tcW w:w="0" w:type="auto"/>
          </w:tcPr>
          <w:p>
            <w:pPr>
              <w:spacing w:after="0"/>
            </w:pPr>
            <w:r>
              <w:t xml:space="preserve">43 (44.3%)</w:t>
            </w:r>
          </w:p>
        </w:tc>
        <w:tc>
          <w:tcPr>
            <w:tcW w:w="0" w:type="auto"/>
          </w:tcPr>
          <w:p>
            <w:pPr>
              <w:spacing w:after="0"/>
            </w:pPr>
            <w:r>
              <w:t xml:space="preserve">46 (46.0%)</w:t>
            </w:r>
          </w:p>
        </w:tc>
        <w:tc>
          <w:tcPr>
            <w:tcW w:w="0" w:type="auto"/>
          </w:tcPr>
          <w:p>
            <w:pPr>
              <w:spacing w:after="0"/>
            </w:pPr>
            <w:r>
              <w:t xml:space="preserve">89 (45.2%)</w:t>
            </w:r>
          </w:p>
        </w:tc>
      </w:tr>
      <w:tr>
        <w:tc>
          <w:tcPr>
            <w:tcW w:w="0" w:type="auto"/>
            <w:tcBorders>
              <w:bottom w:val="single" w:color="000000"/>
            </w:tcBorders>
          </w:tcPr>
          <w:p>
            <w:pPr>
              <w:spacing w:after="0"/>
            </w:pPr>
            <w:r>
              <w:t xml:space="preserve">Previous lines of treatment, median (IQR)</w:t>
            </w:r>
          </w:p>
        </w:tc>
        <w:tc>
          <w:tcPr>
            <w:tcW w:w="0" w:type="auto"/>
            <w:tcBorders>
              <w:bottom w:val="single" w:color="000000"/>
            </w:tcBorders>
          </w:tcPr>
          <w:p>
            <w:pPr>
              <w:spacing w:after="0"/>
            </w:pPr>
            <w:r>
              <w:t xml:space="preserve">3.0 (2.0-5.0)</w:t>
            </w:r>
          </w:p>
        </w:tc>
        <w:tc>
          <w:tcPr>
            <w:tcW w:w="0" w:type="auto"/>
            <w:tcBorders>
              <w:bottom w:val="single" w:color="000000"/>
            </w:tcBorders>
          </w:tcPr>
          <w:p>
            <w:pPr>
              <w:spacing w:after="0"/>
            </w:pPr>
            <w:r>
              <w:t xml:space="preserve">3.0 (2.0-5.0)</w:t>
            </w:r>
          </w:p>
        </w:tc>
        <w:tc>
          <w:tcPr>
            <w:tcW w:w="0" w:type="auto"/>
            <w:tcBorders>
              <w:bottom w:val="single" w:color="000000"/>
            </w:tcBorders>
          </w:tcPr>
          <w:p>
            <w:pPr>
              <w:spacing w:after="0"/>
            </w:pPr>
            <w:r>
              <w:t xml:space="preserve">3.0 (2.0-5.0)</w:t>
            </w:r>
          </w:p>
        </w:tc>
      </w:tr>
      <w:tr>
        <w:tc>
          <w:tcPr>
            <w:gridSpan w:val="4"/>
            <w:tcBorders>
              <w:top w:val="single" w:color="000000"/>
              <w:left w:val="nil" w:color="000000"/>
              <w:bottom w:val="nil" w:color="000000"/>
              <w:right w:val="nil" w:color="000000"/>
            </w:tcBorders>
          </w:tcPr>
          <w:p>
            <w:pPr>
              <w:spacing w:after="0"/>
            </w:pPr>
            <w:r>
              <w:t xml:space="preserve">CT = Treatment at physician's choice group, IQR = Interquartile range, MTA = Molecularly targeted agent group, SD = Standard deviation</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4. Results</w:t>
      </w:r>
    </w:p>
    <w:p>
      <w:pPr>
        <w:jc w:val="both"/>
      </w:pPr>
      <w:r>
        <w:t/>
      </w:r>
      <w:r>
        <w:t xml:space="preserve">There are a total of 197 participants enrolled in this trial. The average age is 60.1 (11.3) years.</w:t>
      </w:r>
    </w:p>
    <w:p>
      <w:pPr>
        <w:sectPr>
          <w:type w:val="continuous"/>
          <w:pgSz w:w="11907" w:h="16839" w:code="9"/>
          <w:pgMar w:top="1440" w:right="1440" w:bottom="1440" w:left="1440"/>
          <w:pgNumType w:fmt="decimal"/>
        </w:sectPr>
      </w:pPr>
    </w:p>
    <w:p>
      <w:pPr>
        <w:sectPr>
          <w:type w:val="continuous"/>
          <w:pgSz w:w="11907" w:h="16839" w:code="9"/>
          <w:pgMar w:top="1440" w:right="1440" w:bottom="1440" w:left="1440"/>
        </w:sectPr>
      </w:pPr>
    </w:p>
    <w:p>
      <w:pPr>
        <w:pStyle w:val="Heading2"/>
      </w:pPr>
      <w:r>
        <w:t/>
      </w:r>
      <w:r>
        <w:t xml:space="preserve"/>
      </w:r>
      <w:r>
        <w:t xml:space="preserve">4.1.     Kaplan-Meier plot</w:t>
      </w:r>
    </w:p>
    <w:p>
      <w:r>
        <w:t/>
      </w:r>
      <w:r>
        <w:t xml:space="preserve">Plot the Kaplan–Meier curve by treatment for progression on a landscape page.</w:t>
      </w:r>
    </w:p>
    <w:p>
      <w:pPr>
        <w:jc w:val="center"/>
      </w:pPr>
      <w:r>
        <w:t/>
      </w:r>
      <w:r>
        <w:drawing>
          <wp:inline distT="0" distB="0" distL="0" distR="0">
            <wp:extent cx="5943600" cy="3962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943600" cy="3962400"/>
                    </a:xfrm>
                    <a:prstGeom prst="rect">
                      <a:avLst/>
                    </a:prstGeom>
                  </pic:spPr>
                </pic:pic>
              </a:graphicData>
            </a:graphic>
          </wp:inline>
        </w:drawing>
        <w:br w:type="textWrapping"/>
      </w:r>
      <w:r>
        <w:t xml:space="preserve">Figure 1: Kaplan–Meier curve by treatment for progression-free survival.</w:t>
      </w:r>
    </w:p>
    <w:p>
      <w:pPr>
        <w:sectPr>
          <w:pgSz w:w="15840" w:h="12240" w:orient="landscape" w:code="1"/>
          <w:pgMar w:top="1440" w:right="1440" w:bottom="1440" w:left="1440"/>
          <w:pgNumType w:fmt="decimal"/>
        </w:sectPr>
      </w:pPr>
    </w:p>
    <w:p>
      <w:pPr>
        <w:sectPr>
          <w:type w:val="continuous"/>
          <w:pgSz w:w="15840" w:h="12240" w:orient="landscape" w:code="1"/>
          <w:pgMar w:top="1440" w:right="1440" w:bottom="1440" w:left="1440"/>
        </w:sectPr>
      </w:pPr>
    </w:p>
    <w:p>
      <w:pPr>
        <w:pStyle w:val="Heading2"/>
      </w:pPr>
      <w:r>
        <w:t/>
      </w:r>
      <w:r>
        <w:t xml:space="preserve"/>
      </w:r>
      <w:r>
        <w:t xml:space="preserve">4.2.     Cox regression</w:t>
      </w:r>
    </w:p>
    <w:p>
      <w:pPr>
        <w:sectPr>
          <w:pgSz w:w="12240" w:h="15840" w:code="1"/>
          <w:pgMar w:top="1440" w:right="1440" w:bottom="1440" w:left="1440"/>
          <w:pgNumType w:fmt="decimal"/>
        </w:sectPr>
      </w:pPr>
    </w:p>
    <w:tbl>
      <w:tblPr>
        <w:tblStyle w:val="TableGrid"/>
        <w:tblW w:w="0" w:type="auto"/>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3120"/>
        <w:gridCol w:w="3120"/>
        <w:gridCol w:w="3120"/>
      </w:tblGrid>
      <w:tr>
        <w:tc>
          <w:tcPr>
            <w:gridSpan w:val="3"/>
            <w:tcBorders>
              <w:top w:val="nil" w:color="000000"/>
              <w:left w:val="nil" w:color="000000"/>
              <w:bottom w:val="single" w:color="000000"/>
              <w:right w:val="nil" w:color="000000"/>
            </w:tcBorders>
          </w:tcPr>
          <w:p>
            <w:pPr>
              <w:spacing w:after="0"/>
            </w:pPr>
            <w:r>
              <w:rPr>
                <w:rFonts w:ascii="Calibri" w:hAnsi="Calibri" w:eastAsia="Calibri" w:cs="Calibri"/>
                <w:b w:val="true"/>
                <w:sz w:val="24"/>
              </w:rPr>
              <w:t xml:space="preserve">Table 2: Effect of treatment for progression-free survival</w:t>
            </w:r>
          </w:p>
        </w:tc>
      </w:tr>
      <w:tr>
        <w:tc>
          <w:tcPr>
            <w:tcW w:w="0" w:type="auto"/>
            <w:tcBorders>
              <w:top w:val="single" w:color="000000"/>
              <w:bottom w:val="single" w:color="000000"/>
            </w:tcBorders>
          </w:tcPr>
          <w:p>
            <w:pPr>
              <w:spacing w:after="0"/>
            </w:pPr>
            <w:r>
              <w:rPr>
                <w:b w:val="true"/>
              </w:rPr>
              <w:t xml:space="preserve">Characteristic</w:t>
            </w:r>
          </w:p>
        </w:tc>
        <w:tc>
          <w:tcPr>
            <w:tcW w:w="0" w:type="auto"/>
            <w:tcBorders>
              <w:top w:val="single" w:color="000000"/>
              <w:bottom w:val="single" w:color="000000"/>
            </w:tcBorders>
          </w:tcPr>
          <w:p>
            <w:pPr>
              <w:spacing w:after="0"/>
            </w:pPr>
            <w:r>
              <w:rPr>
                <w:b w:val="true"/>
              </w:rPr>
              <w:t xml:space="preserve">HR (95% CI)</w:t>
            </w:r>
          </w:p>
        </w:tc>
        <w:tc>
          <w:tcPr>
            <w:tcW w:w="0" w:type="auto"/>
            <w:tcBorders>
              <w:top w:val="single" w:color="000000"/>
              <w:bottom w:val="single" w:color="000000"/>
            </w:tcBorders>
          </w:tcPr>
          <w:p>
            <w:pPr>
              <w:spacing w:after="0"/>
            </w:pPr>
            <w:r>
              <w:rPr>
                <w:b w:val="true"/>
              </w:rPr>
              <w:t xml:space="preserve">p-value</w:t>
            </w:r>
          </w:p>
        </w:tc>
      </w:tr>
      <w:tr>
        <w:tc>
          <w:tcPr>
            <w:tcW w:w="0" w:type="auto"/>
            <w:tcBorders>
              <w:top w:val="single" w:color="000000"/>
            </w:tcBorders>
          </w:tcPr>
          <w:p>
            <w:pPr>
              <w:spacing w:after="0"/>
            </w:pPr>
            <w:r>
              <w:t xml:space="preserve">Treatment</w:t>
            </w:r>
          </w:p>
        </w:tc>
        <w:tc>
          <w:tcPr>
            <w:tcW w:w="0" w:type="auto"/>
            <w:tcBorders>
              <w:top w:val="single" w:color="000000"/>
            </w:tcBorders>
          </w:tcPr>
          <w:p>
            <w:pPr>
              <w:spacing w:after="0"/>
            </w:pPr>
          </w:p>
        </w:tc>
        <w:tc>
          <w:tcPr>
            <w:tcW w:w="0" w:type="auto"/>
            <w:tcBorders>
              <w:top w:val="single" w:color="000000"/>
            </w:tcBorders>
          </w:tcPr>
          <w:p>
            <w:pPr>
              <w:spacing w:after="0"/>
            </w:pPr>
          </w:p>
        </w:tc>
      </w:tr>
      <w:tr>
        <w:tc>
          <w:tcPr>
            <w:tcW w:w="0" w:type="auto"/>
          </w:tcPr>
          <w:p>
            <w:pPr>
              <w:spacing w:after="0"/>
            </w:pPr>
            <w:r>
              <w:t xml:space="preserve">  Treatment at physician's choice group</w:t>
            </w:r>
          </w:p>
        </w:tc>
        <w:tc>
          <w:tcPr>
            <w:tcW w:w="0" w:type="auto"/>
          </w:tcPr>
          <w:p>
            <w:pPr>
              <w:spacing w:after="0"/>
            </w:pPr>
            <w:r>
              <w:t xml:space="preserve">Ref.</w:t>
            </w:r>
          </w:p>
        </w:tc>
        <w:tc>
          <w:tcPr>
            <w:tcW w:w="0" w:type="auto"/>
          </w:tcPr>
          <w:p>
            <w:pPr>
              <w:spacing w:after="0"/>
            </w:pPr>
          </w:p>
        </w:tc>
      </w:tr>
      <w:tr>
        <w:tc>
          <w:tcPr>
            <w:tcW w:w="0" w:type="auto"/>
            <w:tcBorders>
              <w:bottom w:val="single" w:color="000000"/>
            </w:tcBorders>
          </w:tcPr>
          <w:p>
            <w:pPr>
              <w:spacing w:after="0"/>
            </w:pPr>
            <w:r>
              <w:t xml:space="preserve">  Molecularly targeted agent group</w:t>
            </w:r>
          </w:p>
        </w:tc>
        <w:tc>
          <w:tcPr>
            <w:tcW w:w="0" w:type="auto"/>
            <w:tcBorders>
              <w:bottom w:val="single" w:color="000000"/>
            </w:tcBorders>
          </w:tcPr>
          <w:p>
            <w:pPr>
              <w:spacing w:after="0"/>
            </w:pPr>
            <w:r>
              <w:t xml:space="preserve">0.85 (0.62,1.15)</w:t>
            </w:r>
          </w:p>
        </w:tc>
        <w:tc>
          <w:tcPr>
            <w:tcW w:w="0" w:type="auto"/>
            <w:tcBorders>
              <w:bottom w:val="single" w:color="000000"/>
            </w:tcBorders>
          </w:tcPr>
          <w:p>
            <w:pPr>
              <w:spacing w:after="0"/>
            </w:pPr>
            <w:r>
              <w:t xml:space="preserve">0.283</w:t>
            </w:r>
          </w:p>
        </w:tc>
      </w:tr>
      <w:tr>
        <w:tc>
          <w:tcPr>
            <w:gridSpan w:val="3"/>
            <w:tcBorders>
              <w:top w:val="single" w:color="000000"/>
              <w:left w:val="nil" w:color="000000"/>
              <w:bottom w:val="nil" w:color="000000"/>
              <w:right w:val="nil" w:color="000000"/>
            </w:tcBorders>
          </w:tcPr>
          <w:p>
            <w:pPr>
              <w:spacing w:after="0"/>
            </w:pPr>
            <w:r>
              <w:t xml:space="preserve">HR = Hazard Ratio, CI = Confidence Interval</w:t>
            </w:r>
          </w:p>
        </w:tc>
      </w:tr>
    </w:tbl>
    <w:p>
      <w:r>
        <w:t/>
      </w:r>
    </w:p>
    <w:sectPr>
      <w:type w:val="continuous"/>
      <w:pgSz w:w="12240" w:h="15840" w:code="1"/>
      <w:pgMar w:top="1440" w:right="1440" w:bottom="1440" w:left="1440"/>
      <w:pgNumType w:fmt="decimal"/>
    </w:sectPr>
  </w:body>
</w:document>
</file>

<file path=word/footer-foot.xml><?xml version="1.0" encoding="utf-8"?>
<w:ftr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jc w:val="center"/>
      <w:rPr>
        <w:sz w:val="22"/>
      </w:rPr>
    </w:pPr>
    <w:r>
      <w:t/>
    </w:r>
    <w:r>
      <w:rPr>
        <w:rFonts/>
        <w:sz w:val="22"/>
      </w:rPr>
      <w:fldChar w:fldCharType="begin"/>
      <w:instrText xml:space="preserve"> PAGE \* MERGEFORMAT </w:instrText>
      <w:fldChar w:fldCharType="end"/>
    </w:r>
  </w:p>
</w:ftr>
</file>

<file path=word/header-head.xml><?xml version="1.0" encoding="utf-8"?>
<w:hdr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rPr>
        <w:sz w:val="22"/>
      </w:rPr>
    </w:pPr>
    <w:r>
      <w:t/>
    </w:r>
    <w:r>
      <w:rPr>
        <w:rFonts/>
        <w:sz w:val="22"/>
      </w:rPr>
      <w:t xml:space="preserve">Clinical trial report</w:t>
    </w:r>
  </w:p>
</w:hdr>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2"/>
    <Relationship Target="header-head.xml" Type="http://schemas.openxmlformats.org/officeDocument/2006/relationships/header" Id="rId3"/>
    <Relationship Target="footer-foot.xml" Type="http://schemas.openxmlformats.org/officeDocument/2006/relationships/footer" Id="rId4"/>
    <Relationship Target="media/document_image_rId3.png" Type="http://schemas.openxmlformats.org/officeDocument/2006/relationships/image"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