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Sword and Thistle</w:t>
      </w:r>
    </w:p>
    <w:p>
      <w:r>
        <w:t>February 2026 Edition</w:t>
      </w:r>
    </w:p>
    <w:p>
      <w:r>
        <w:t>Gàidheil gu bràth – Highlanders Forever!</w:t>
      </w:r>
    </w:p>
    <w:p/>
    <w:p>
      <w:pPr>
        <w:pStyle w:val="Heading2"/>
      </w:pPr>
      <w:r>
        <w:t>Upcoming Events</w:t>
      </w:r>
    </w:p>
    <w:p>
      <w:r>
        <w:t>Broxton Bridge – Feb 27 – Mar 1</w:t>
      </w:r>
    </w:p>
    <w:p>
      <w:r>
        <w:t>WFB COI (Richmond KY) – March 20–22</w:t>
      </w:r>
    </w:p>
    <w:p>
      <w:r>
        <w:t>Resaca – May 15–17</w:t>
      </w:r>
    </w:p>
    <w:p>
      <w:r>
        <w:t>Battle of Franklin – Oct 2–4</w:t>
      </w:r>
    </w:p>
    <w:p>
      <w:r>
        <w:t>Beaufort Living History – Nov 7</w:t>
      </w:r>
    </w:p>
    <w:p/>
    <w:p>
      <w:r>
        <w:t>See full issue provided by the unit editor.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