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051D5" w14:textId="78EE1BB3" w:rsidR="00983CEE" w:rsidRPr="001F30F1" w:rsidRDefault="00983CEE">
      <w:pPr>
        <w:rPr>
          <w:i/>
          <w:iCs/>
        </w:rPr>
      </w:pPr>
      <w:r>
        <w:t>Option 1:</w:t>
      </w:r>
      <w:r w:rsidR="001D5F15">
        <w:t xml:space="preserve"> </w:t>
      </w:r>
      <w:r w:rsidR="001F30F1">
        <w:t xml:space="preserve">Framing emphasis on consequences of U.S. policy. </w:t>
      </w:r>
      <w:r w:rsidR="002C2F92" w:rsidRPr="001F30F1">
        <w:rPr>
          <w:i/>
          <w:iCs/>
        </w:rPr>
        <w:t>Findings written on assumption of null effect</w:t>
      </w:r>
    </w:p>
    <w:p w14:paraId="66E0F682" w14:textId="77777777" w:rsidR="00983CEE" w:rsidRDefault="00983CEE"/>
    <w:p w14:paraId="41C97805" w14:textId="38BD42A5" w:rsidR="0099090E" w:rsidRDefault="001B0DB7">
      <w:r>
        <w:t xml:space="preserve">The LGBT+ policy landscape across the U.S. is in flux and contradictory. During the Obama Administration, “Don’t Ask, Don’t Tell” was overturned, the Defense of Marriage Act was ruled unconstitutional, and the U.S. Supreme Court legalized same-sex marriages. </w:t>
      </w:r>
      <w:r w:rsidR="00966F95">
        <w:t>Indeed, shortly thereafter</w:t>
      </w:r>
      <w:r w:rsidR="00DB74A8">
        <w:t>,</w:t>
      </w:r>
      <w:r w:rsidR="00966F95">
        <w:t xml:space="preserve"> </w:t>
      </w:r>
      <w:r w:rsidR="00966F95">
        <w:rPr>
          <w:i/>
          <w:iCs/>
        </w:rPr>
        <w:t xml:space="preserve">The Atlantic </w:t>
      </w:r>
      <w:r w:rsidR="00DB74A8">
        <w:t xml:space="preserve">ran an article </w:t>
      </w:r>
      <w:r w:rsidR="00966F95">
        <w:t xml:space="preserve">under the title: “The Struggle for Gay Rights is Over” </w:t>
      </w:r>
      <w:r w:rsidR="00FA36AB">
        <w:t>with the subheading “</w:t>
      </w:r>
      <w:r w:rsidR="00A102CD">
        <w:t>…</w:t>
      </w:r>
      <w:r w:rsidR="00FA36AB">
        <w:t xml:space="preserve">sometimes the hardest thing to do is admitting that [you]’ve won” </w:t>
      </w:r>
      <w:r w:rsidR="00966F95">
        <w:t xml:space="preserve">(Kirchick 2019). </w:t>
      </w:r>
      <w:r>
        <w:t xml:space="preserve"> </w:t>
      </w:r>
      <w:r w:rsidR="00DB74A8">
        <w:t>Compared to</w:t>
      </w:r>
      <w:r w:rsidR="00335064">
        <w:t xml:space="preserve"> same-sex marriage bans enacted </w:t>
      </w:r>
      <w:r w:rsidR="005138F4">
        <w:t xml:space="preserve">during the preceding </w:t>
      </w:r>
      <w:r w:rsidR="00DB74A8">
        <w:t xml:space="preserve">Bush Administration, the </w:t>
      </w:r>
      <w:r w:rsidR="00A102CD">
        <w:t xml:space="preserve">momentary </w:t>
      </w:r>
      <w:r w:rsidR="00DB74A8">
        <w:t xml:space="preserve">optimism </w:t>
      </w:r>
      <w:r w:rsidR="00DD64D7">
        <w:t xml:space="preserve">seemed </w:t>
      </w:r>
      <w:r w:rsidR="00DB74A8">
        <w:t>warrante</w:t>
      </w:r>
      <w:r w:rsidR="00A102CD">
        <w:t>d – even if hyperbolic</w:t>
      </w:r>
      <w:r w:rsidR="00DB74A8">
        <w:t xml:space="preserve">. </w:t>
      </w:r>
      <w:r w:rsidR="001D5F15">
        <w:t xml:space="preserve">Such achievements, however, now </w:t>
      </w:r>
      <w:r w:rsidR="00DD64D7">
        <w:t xml:space="preserve">appear </w:t>
      </w:r>
      <w:r w:rsidR="001D5F15">
        <w:t xml:space="preserve">to represent a high-water mark. </w:t>
      </w:r>
      <w:r w:rsidR="001D5F15">
        <w:t>D</w:t>
      </w:r>
      <w:r w:rsidR="00335064">
        <w:t xml:space="preserve">uring the succeeding Trump Administration and </w:t>
      </w:r>
      <w:r w:rsidR="00AB2038">
        <w:t>thereafter</w:t>
      </w:r>
      <w:r w:rsidR="001D5F15">
        <w:t>, n</w:t>
      </w:r>
      <w:r w:rsidR="001D5F15">
        <w:t xml:space="preserve">ew forms of repression swept across the </w:t>
      </w:r>
      <w:proofErr w:type="gramStart"/>
      <w:r w:rsidR="001D5F15">
        <w:t>U.S.</w:t>
      </w:r>
      <w:r w:rsidR="00DB74A8">
        <w:t>:</w:t>
      </w:r>
      <w:proofErr w:type="gramEnd"/>
      <w:r w:rsidR="00DB74A8">
        <w:t xml:space="preserve"> ban</w:t>
      </w:r>
      <w:r w:rsidR="00EA2C96">
        <w:t>s on</w:t>
      </w:r>
      <w:r w:rsidR="00DB74A8">
        <w:t xml:space="preserve"> transgender youth participating in school sports </w:t>
      </w:r>
      <w:r w:rsidR="005138F4">
        <w:t xml:space="preserve">and </w:t>
      </w:r>
      <w:r w:rsidR="00DB74A8">
        <w:t xml:space="preserve">using restrooms that reflect their gender identity, </w:t>
      </w:r>
      <w:r w:rsidR="00EA2C96">
        <w:t>limitations</w:t>
      </w:r>
      <w:r w:rsidR="00DB74A8">
        <w:t xml:space="preserve"> </w:t>
      </w:r>
      <w:r w:rsidR="005138F4">
        <w:t>on</w:t>
      </w:r>
      <w:r w:rsidR="00DB74A8">
        <w:t xml:space="preserve"> gender affirming care, </w:t>
      </w:r>
      <w:r w:rsidR="00EA2C96">
        <w:t xml:space="preserve">curtails to </w:t>
      </w:r>
      <w:r w:rsidR="00DB74A8">
        <w:t xml:space="preserve">LGBT+ content in </w:t>
      </w:r>
      <w:r w:rsidR="005138F4">
        <w:t xml:space="preserve">public </w:t>
      </w:r>
      <w:r w:rsidR="00DB74A8">
        <w:t xml:space="preserve">schools, accusations </w:t>
      </w:r>
      <w:r w:rsidR="00EA2C96">
        <w:t xml:space="preserve">of </w:t>
      </w:r>
      <w:r w:rsidR="00DB74A8">
        <w:t xml:space="preserve">LGBT+ individuals </w:t>
      </w:r>
      <w:r w:rsidR="00EA2C96">
        <w:t>being</w:t>
      </w:r>
      <w:r w:rsidR="00DB74A8">
        <w:t xml:space="preserve"> “groomers</w:t>
      </w:r>
      <w:r w:rsidR="00EA2C96">
        <w:t xml:space="preserve">” </w:t>
      </w:r>
      <w:r w:rsidR="008302B1">
        <w:t>resurfaced</w:t>
      </w:r>
      <w:r w:rsidR="00EA2C96">
        <w:t>,</w:t>
      </w:r>
      <w:r w:rsidR="00DB74A8">
        <w:t xml:space="preserve"> and</w:t>
      </w:r>
      <w:r w:rsidR="00EA2C96">
        <w:t xml:space="preserve"> intimidations by</w:t>
      </w:r>
      <w:r w:rsidR="00DB74A8">
        <w:t xml:space="preserve"> </w:t>
      </w:r>
      <w:r w:rsidR="0046561B">
        <w:t xml:space="preserve">armed </w:t>
      </w:r>
      <w:r w:rsidR="00DB74A8">
        <w:t xml:space="preserve">right-wing militias </w:t>
      </w:r>
      <w:r w:rsidR="00EA2C96">
        <w:t xml:space="preserve">against celebratory pride parades </w:t>
      </w:r>
      <w:r w:rsidR="005138F4">
        <w:t xml:space="preserve">and drag queen story hours </w:t>
      </w:r>
      <w:r w:rsidR="00EA2C96">
        <w:t>(xx; xx; xx; xx).</w:t>
      </w:r>
    </w:p>
    <w:p w14:paraId="4F485F2B" w14:textId="4FB27A4C" w:rsidR="0013629E" w:rsidRDefault="0046561B">
      <w:r>
        <w:tab/>
      </w:r>
      <w:r w:rsidR="008302B1">
        <w:t xml:space="preserve">To date, researchers </w:t>
      </w:r>
      <w:r w:rsidR="00335064">
        <w:t xml:space="preserve">have primarily focused </w:t>
      </w:r>
      <w:r w:rsidR="008302B1">
        <w:t>on the domestic consequences of these policy changes</w:t>
      </w:r>
      <w:r w:rsidR="00FA36AB">
        <w:t xml:space="preserve">. </w:t>
      </w:r>
      <w:r w:rsidR="008302B1">
        <w:t>A</w:t>
      </w:r>
      <w:r w:rsidR="00FA36AB">
        <w:t xml:space="preserve">ttention to how </w:t>
      </w:r>
      <w:r w:rsidR="00335064">
        <w:t xml:space="preserve">such </w:t>
      </w:r>
      <w:r w:rsidR="00FA36AB">
        <w:t xml:space="preserve">policies </w:t>
      </w:r>
      <w:r w:rsidR="00335064">
        <w:t>affect</w:t>
      </w:r>
      <w:r w:rsidR="00FA36AB">
        <w:t xml:space="preserve"> local LGBT+ communities</w:t>
      </w:r>
      <w:r w:rsidR="0013629E">
        <w:t xml:space="preserve"> in the U.S.</w:t>
      </w:r>
      <w:r w:rsidR="00FA36AB">
        <w:t xml:space="preserve">, for better or worse, is </w:t>
      </w:r>
      <w:r w:rsidR="00335064">
        <w:t>reasonable</w:t>
      </w:r>
      <w:r w:rsidR="00FA36AB">
        <w:t xml:space="preserve"> considering these populations are in direct purview of the policy in question.</w:t>
      </w:r>
      <w:r w:rsidR="008302B1">
        <w:t xml:space="preserve"> But extant literature highlights that what happens in the U.S. travels – both </w:t>
      </w:r>
      <w:r w:rsidR="00D64715">
        <w:t>through explicit LGBT+-related foreign policy but also by the normative standard</w:t>
      </w:r>
      <w:r w:rsidR="007D03E6">
        <w:t>s</w:t>
      </w:r>
      <w:r w:rsidR="00D64715">
        <w:t xml:space="preserve"> that ripple outward by such reforms (xx; xx).</w:t>
      </w:r>
      <w:r w:rsidR="0013629E">
        <w:t xml:space="preserve"> Consequently, only examining domestic policy effects significantly narrows our understanding of their significance.</w:t>
      </w:r>
    </w:p>
    <w:p w14:paraId="07785580" w14:textId="7DF9B604" w:rsidR="002E29E5" w:rsidRDefault="0013629E">
      <w:r>
        <w:tab/>
        <w:t xml:space="preserve">One understudied way LGBT+ policy changes within the U.S. may have global ramifications is by redirecting financial resources abroad. Indeed, during the progressive changes of the Obama Administration, several reports and </w:t>
      </w:r>
      <w:r w:rsidR="002E29E5">
        <w:t xml:space="preserve">academic </w:t>
      </w:r>
      <w:r>
        <w:t xml:space="preserve">studies </w:t>
      </w:r>
      <w:r w:rsidR="002E29E5">
        <w:t>brought attention to</w:t>
      </w:r>
      <w:r>
        <w:t xml:space="preserve"> </w:t>
      </w:r>
      <w:r w:rsidR="005F0827">
        <w:t xml:space="preserve">the perception that </w:t>
      </w:r>
      <w:r>
        <w:t xml:space="preserve">U.S.-based anti-LGBT+ organizations were </w:t>
      </w:r>
      <w:r w:rsidR="00441F8C">
        <w:t xml:space="preserve">“forum shopping,” or </w:t>
      </w:r>
      <w:r w:rsidR="002E29E5">
        <w:t xml:space="preserve">increasing </w:t>
      </w:r>
      <w:r>
        <w:t>invest</w:t>
      </w:r>
      <w:r w:rsidR="002E29E5">
        <w:t xml:space="preserve">ments in foreign locations </w:t>
      </w:r>
      <w:r w:rsidR="005F0827">
        <w:t xml:space="preserve">believed to </w:t>
      </w:r>
      <w:r w:rsidR="002E29E5">
        <w:t>be more</w:t>
      </w:r>
      <w:r w:rsidR="00441F8C">
        <w:t xml:space="preserve"> amenable to</w:t>
      </w:r>
      <w:r w:rsidR="005F0827">
        <w:t xml:space="preserve"> </w:t>
      </w:r>
      <w:r w:rsidR="002E29E5">
        <w:t>their ca</w:t>
      </w:r>
      <w:r w:rsidR="005F0827">
        <w:t>u</w:t>
      </w:r>
      <w:r w:rsidR="002E29E5">
        <w:t xml:space="preserve">se (xx; xx; xx). The argument is that as </w:t>
      </w:r>
      <w:r>
        <w:t xml:space="preserve">LGBT+ </w:t>
      </w:r>
      <w:r w:rsidR="002E29E5">
        <w:t xml:space="preserve">rights gain traction, </w:t>
      </w:r>
      <w:r>
        <w:t>the U.S.</w:t>
      </w:r>
      <w:r w:rsidR="005F0827">
        <w:t xml:space="preserve"> is increasingly perceived as “</w:t>
      </w:r>
      <w:r w:rsidR="002E29E5">
        <w:t>lost” to anti-LGBT+ eff</w:t>
      </w:r>
      <w:r w:rsidR="005F0827">
        <w:t>orts</w:t>
      </w:r>
      <w:r>
        <w:t xml:space="preserve"> – reflecting the sentiment of </w:t>
      </w:r>
      <w:r>
        <w:rPr>
          <w:i/>
          <w:iCs/>
        </w:rPr>
        <w:t xml:space="preserve">The Atlantic. </w:t>
      </w:r>
      <w:r w:rsidR="002E29E5">
        <w:t>Indeed, U.S.-based resources are seen as instrumental for the dramatic expansion in anti-LGBT+ efforts globally (Dreier 2018</w:t>
      </w:r>
      <w:r w:rsidR="005F0827">
        <w:t>; xx</w:t>
      </w:r>
      <w:r w:rsidR="002E29E5">
        <w:t>)</w:t>
      </w:r>
      <w:r w:rsidR="005F0827">
        <w:t xml:space="preserve">. While the policy backlash of these anti-LGBT+ networks is well documented </w:t>
      </w:r>
      <w:r w:rsidR="002E29E5">
        <w:t xml:space="preserve">(Velasco </w:t>
      </w:r>
      <w:r w:rsidR="002E29E5">
        <w:rPr>
          <w:i/>
          <w:iCs/>
        </w:rPr>
        <w:t>forthcoming</w:t>
      </w:r>
      <w:r w:rsidR="002E29E5">
        <w:t>)</w:t>
      </w:r>
      <w:r w:rsidR="005F0827">
        <w:t xml:space="preserve">, there is little empirical evidence that U.S.-based anti-LGBT+ organizations are re-investing dollars internationally </w:t>
      </w:r>
      <w:r w:rsidR="005F0827" w:rsidRPr="005F0827">
        <w:t xml:space="preserve">as a </w:t>
      </w:r>
      <w:r w:rsidR="005F0827">
        <w:t xml:space="preserve">direct </w:t>
      </w:r>
      <w:r w:rsidR="005F0827" w:rsidRPr="005F0827">
        <w:t>result of progressive policy changes within the U.S.</w:t>
      </w:r>
      <w:r w:rsidR="005F0827">
        <w:t xml:space="preserve"> Therefore, this study seeks to offer a much-needed contribution by assessing if progressive LGBT+ changes across U.S. states and federal government result in more money being spent internationally by U.S. anti-LGBT+ organizations.</w:t>
      </w:r>
    </w:p>
    <w:p w14:paraId="666FAE15" w14:textId="2D6AE6CF" w:rsidR="00857810" w:rsidRDefault="005F0827" w:rsidP="00857810">
      <w:r>
        <w:tab/>
      </w:r>
      <w:r w:rsidR="00857810">
        <w:t>We address our research question by pairing computational and causal research designs with a novel, underutilized source of data: nonprofit tax returns. In 2008, the Internal Revenue Service started requiring U.S. nonprofits with gross receipts of over $200,000 to disclose foreign expenditures on their annual tax forms. These forms, which contain a complete set of financial and administrative information like mission statements, are thus well-positioned to address our core research question. We implement the following three-part investigation after collecting these data from 2008 through 2020. First, we determine our relevant sample of “anti-LGBT+” nonprofits based on both a computational text analysis of their mission statements and network affiliations. Second, we then provide a descriptive understanding of how foreign expenditures have changed from 2008 through 2020. Third, we then leverage synthetic control methods and regression discontinuities to test whether changes in foreign expenditures can be causally attributable to state and federal legalizations of same-sex marriage – a policy with significant symbolic resonance that shaped perceptions of anti-LGBT+ efforts being “lost” in the U.S. (xx).</w:t>
      </w:r>
    </w:p>
    <w:p w14:paraId="063FE42E" w14:textId="297ACA35" w:rsidR="00CA63DB" w:rsidRDefault="00CA63DB" w:rsidP="00857810">
      <w:r>
        <w:lastRenderedPageBreak/>
        <w:tab/>
      </w:r>
      <w:r>
        <w:t>We find that anti-LGBT+ organizations collectively invest millions of dollars internationally each year. Between 2008 and 2020, the average spent per year was xx or xx per organization – alone an important descriptive data point. We find no support, however, that expenditures are increasing due to progressive reforms in the U.S. There does not appear to be a causal connection despite perceptions and activists arguing one exists. In fact, evidence suggests that foreign expenditures may be decreasing. While these findings do not detract from the reality that transnational anti-LGBT+ efforts are growing, they do force a reassessment as to the mechanisms that enable these outcomes.</w:t>
      </w:r>
      <w:r>
        <w:t xml:space="preserve"> While the present study is focused on anti-LGBT+ organizations, we outline below the implications of this study for understandings of transnational processes, social movements, and public policy more broadly – especially the importance of introducing novel data and causal designs to established theories.</w:t>
      </w:r>
    </w:p>
    <w:p w14:paraId="1C893862" w14:textId="5744D12E" w:rsidR="00CA63DB" w:rsidRDefault="00CA63DB" w:rsidP="00857810">
      <w:r>
        <w:tab/>
      </w:r>
    </w:p>
    <w:p w14:paraId="2F70E6C6" w14:textId="0D0AA4F5" w:rsidR="005F0827" w:rsidRPr="005F0827" w:rsidRDefault="005F0827">
      <w:r>
        <w:tab/>
      </w:r>
    </w:p>
    <w:p w14:paraId="4FB3AAA4" w14:textId="77777777" w:rsidR="002E29E5" w:rsidRDefault="002E29E5">
      <w:pPr>
        <w:rPr>
          <w:i/>
          <w:iCs/>
        </w:rPr>
      </w:pPr>
    </w:p>
    <w:p w14:paraId="00108F52" w14:textId="50D44738" w:rsidR="00BC2C65" w:rsidRDefault="00BC2C65">
      <w:r>
        <w:br w:type="page"/>
      </w:r>
    </w:p>
    <w:p w14:paraId="742FCDCB" w14:textId="6F1E0B21" w:rsidR="006A54F8" w:rsidRDefault="00983CEE" w:rsidP="003A1A8F">
      <w:r>
        <w:lastRenderedPageBreak/>
        <w:t xml:space="preserve">Option </w:t>
      </w:r>
      <w:r w:rsidR="006A54F8">
        <w:t>2</w:t>
      </w:r>
      <w:r>
        <w:t>:</w:t>
      </w:r>
      <w:r w:rsidR="001D5F15">
        <w:t xml:space="preserve"> </w:t>
      </w:r>
      <w:r w:rsidR="001F30F1">
        <w:t xml:space="preserve">Framing emphasis on transnational networks. </w:t>
      </w:r>
      <w:r w:rsidR="002C2F92" w:rsidRPr="001F30F1">
        <w:rPr>
          <w:i/>
          <w:iCs/>
        </w:rPr>
        <w:t>Findings written on assumption of null effect</w:t>
      </w:r>
    </w:p>
    <w:p w14:paraId="6F02A55F" w14:textId="538F2F49" w:rsidR="003A1A8F" w:rsidRDefault="003A1A8F" w:rsidP="003A1A8F"/>
    <w:p w14:paraId="19CC6B79" w14:textId="5FE7AE3E" w:rsidR="009D54E6" w:rsidRPr="009D54E6" w:rsidRDefault="00C54FA6" w:rsidP="009D54E6">
      <w:pPr>
        <w:rPr>
          <w:rFonts w:eastAsia="Times New Roman" w:cs="Times New Roman"/>
          <w:i/>
          <w:iCs/>
          <w:color w:val="000000" w:themeColor="text1"/>
        </w:rPr>
      </w:pPr>
      <w:r w:rsidRPr="009D54E6">
        <w:rPr>
          <w:i/>
          <w:iCs/>
          <w:color w:val="000000" w:themeColor="text1"/>
        </w:rPr>
        <w:t>“</w:t>
      </w:r>
      <w:r w:rsidRPr="009D54E6">
        <w:rPr>
          <w:rFonts w:eastAsia="Times New Roman" w:cs="Open Sans"/>
          <w:i/>
          <w:iCs/>
          <w:color w:val="000000" w:themeColor="text1"/>
        </w:rPr>
        <w:t>They have lost support in their home country. Now they are looking for countries where they can dump their ideologies</w:t>
      </w:r>
      <w:r w:rsidRPr="009D54E6">
        <w:rPr>
          <w:rFonts w:eastAsia="Times New Roman" w:cs="Open Sans"/>
          <w:i/>
          <w:iCs/>
          <w:color w:val="000000" w:themeColor="text1"/>
        </w:rPr>
        <w:t xml:space="preserve">,” </w:t>
      </w:r>
      <w:r w:rsidR="009D54E6" w:rsidRPr="009D54E6">
        <w:rPr>
          <w:rFonts w:eastAsia="Times New Roman" w:cs="Open Sans"/>
          <w:i/>
          <w:iCs/>
          <w:color w:val="000000" w:themeColor="text1"/>
        </w:rPr>
        <w:t>Frank Mugisha</w:t>
      </w:r>
      <w:r w:rsidR="009D54E6">
        <w:rPr>
          <w:rFonts w:eastAsia="Times New Roman" w:cs="Open Sans"/>
          <w:i/>
          <w:iCs/>
          <w:color w:val="000000" w:themeColor="text1"/>
        </w:rPr>
        <w:t xml:space="preserve">. </w:t>
      </w:r>
    </w:p>
    <w:p w14:paraId="7C2588CB" w14:textId="443BFA6C" w:rsidR="00C54FA6" w:rsidRDefault="00C54FA6" w:rsidP="003A1A8F"/>
    <w:p w14:paraId="7D549170" w14:textId="1F0C3950" w:rsidR="00983CEE" w:rsidRDefault="003A1A8F">
      <w:r>
        <w:t xml:space="preserve">Does the advancement of LGBT+ rights in the U.S. inadvertently harm LGBT+ communities abroad? </w:t>
      </w:r>
      <w:r w:rsidR="0073596B">
        <w:t>To U</w:t>
      </w:r>
      <w:r w:rsidR="00E366C7">
        <w:t>gandan LGBT</w:t>
      </w:r>
      <w:r w:rsidR="004E6B5F">
        <w:t>+</w:t>
      </w:r>
      <w:r w:rsidR="00E366C7">
        <w:t xml:space="preserve"> activist Frank Mugisha</w:t>
      </w:r>
      <w:r w:rsidR="00E366C7">
        <w:t>, t</w:t>
      </w:r>
      <w:r w:rsidR="009D54E6">
        <w:t>he answer is yes</w:t>
      </w:r>
      <w:r w:rsidR="00E366C7">
        <w:t>.</w:t>
      </w:r>
      <w:r w:rsidR="009D54E6">
        <w:t xml:space="preserve"> </w:t>
      </w:r>
      <w:r w:rsidR="0073596B">
        <w:t xml:space="preserve">Many similarly argue that </w:t>
      </w:r>
      <w:r w:rsidR="00E366C7">
        <w:t>anti-LGBT+ actors redirect</w:t>
      </w:r>
      <w:r w:rsidR="004E6B5F">
        <w:t>ed</w:t>
      </w:r>
      <w:r w:rsidR="00E366C7">
        <w:t xml:space="preserve"> resources toward more amenable </w:t>
      </w:r>
      <w:r w:rsidR="00426D72">
        <w:t>arenas</w:t>
      </w:r>
      <w:r w:rsidR="00E366C7">
        <w:t xml:space="preserve"> internationally</w:t>
      </w:r>
      <w:r w:rsidR="0073596B">
        <w:t xml:space="preserve"> – a process known as “forum shopping” – </w:t>
      </w:r>
      <w:r w:rsidR="004E6B5F">
        <w:t>after</w:t>
      </w:r>
      <w:r w:rsidR="0073596B">
        <w:t xml:space="preserve"> legal gains in the U.S. (xx; xx). Indeed, transnational anti-LGBT+ networks are increasingly successful in advancing anti-LGBT+ policies internationally (Velasco </w:t>
      </w:r>
      <w:r w:rsidR="0073596B">
        <w:rPr>
          <w:i/>
          <w:iCs/>
        </w:rPr>
        <w:t>forthcoming</w:t>
      </w:r>
      <w:r w:rsidR="0073596B">
        <w:t xml:space="preserve">) and U.S.-based organizations are seen </w:t>
      </w:r>
      <w:r w:rsidR="009F37FF">
        <w:t>as</w:t>
      </w:r>
      <w:r w:rsidR="00851E98">
        <w:t xml:space="preserve"> </w:t>
      </w:r>
      <w:r w:rsidR="009F37FF">
        <w:t>financial lynchpins</w:t>
      </w:r>
      <w:r w:rsidR="0073596B">
        <w:t xml:space="preserve"> </w:t>
      </w:r>
      <w:r w:rsidR="00851E98">
        <w:t xml:space="preserve">within these networks </w:t>
      </w:r>
      <w:r w:rsidR="009F37FF">
        <w:t xml:space="preserve">that </w:t>
      </w:r>
      <w:r w:rsidR="0073596B">
        <w:t xml:space="preserve">make </w:t>
      </w:r>
      <w:r w:rsidR="00C67BCD">
        <w:t xml:space="preserve">such outcomes </w:t>
      </w:r>
      <w:r w:rsidR="0073596B">
        <w:t xml:space="preserve">possible (xx; xx). </w:t>
      </w:r>
      <w:r w:rsidR="00E01DB8">
        <w:t xml:space="preserve">However, </w:t>
      </w:r>
      <w:r w:rsidR="00426D72">
        <w:t xml:space="preserve">current evidence supporting this </w:t>
      </w:r>
      <w:r w:rsidR="00E01DB8">
        <w:t xml:space="preserve">causal pathway </w:t>
      </w:r>
      <w:r w:rsidR="00426D72">
        <w:t xml:space="preserve">is </w:t>
      </w:r>
      <w:r w:rsidR="005D2618">
        <w:t>relatively thin.</w:t>
      </w:r>
      <w:r w:rsidR="00E01DB8">
        <w:t xml:space="preserve"> Studies either rely on subjective interpretation</w:t>
      </w:r>
      <w:r w:rsidR="00D24AF0">
        <w:t>s</w:t>
      </w:r>
      <w:r w:rsidR="000655FB">
        <w:t>,</w:t>
      </w:r>
      <w:r w:rsidR="00D24AF0">
        <w:t xml:space="preserve"> like the one given by Mr. Mugisha</w:t>
      </w:r>
      <w:r w:rsidR="000655FB">
        <w:t>,</w:t>
      </w:r>
      <w:r w:rsidR="00D24AF0">
        <w:t xml:space="preserve"> </w:t>
      </w:r>
      <w:r w:rsidR="00E01DB8">
        <w:t>or descriptive assessments of foreign expenditures by a</w:t>
      </w:r>
      <w:r w:rsidR="00F439F8">
        <w:t xml:space="preserve"> </w:t>
      </w:r>
      <w:r w:rsidR="000655FB">
        <w:t xml:space="preserve">few </w:t>
      </w:r>
      <w:r w:rsidR="00F439F8">
        <w:t>select organizations</w:t>
      </w:r>
      <w:r w:rsidR="00E01DB8">
        <w:t xml:space="preserve"> (xx; xx).</w:t>
      </w:r>
      <w:r w:rsidR="005D2618">
        <w:t xml:space="preserve"> Therefore, this study seeks to offer an important contribution by </w:t>
      </w:r>
      <w:r w:rsidR="00E01DB8">
        <w:t xml:space="preserve">investigating if LGBT+ advancements in the U.S. </w:t>
      </w:r>
      <w:r w:rsidR="00D24AF0">
        <w:t xml:space="preserve">directly </w:t>
      </w:r>
      <w:r w:rsidR="00E01DB8">
        <w:t>cause U.S.-based anti-LGBT+ organizations to redirect financial resources internationally.</w:t>
      </w:r>
    </w:p>
    <w:p w14:paraId="49B4FCF8" w14:textId="005D2CE2" w:rsidR="00426D72" w:rsidRDefault="00426D72">
      <w:r>
        <w:tab/>
      </w:r>
      <w:r w:rsidR="006C0348">
        <w:t>We</w:t>
      </w:r>
      <w:r>
        <w:t xml:space="preserve"> address our research question</w:t>
      </w:r>
      <w:r w:rsidR="006C0348">
        <w:t xml:space="preserve"> by pairing computational</w:t>
      </w:r>
      <w:r w:rsidR="00251DB3">
        <w:t xml:space="preserve"> </w:t>
      </w:r>
      <w:r w:rsidR="006C0348">
        <w:t xml:space="preserve">and </w:t>
      </w:r>
      <w:r w:rsidR="009A5161">
        <w:t xml:space="preserve">causal research </w:t>
      </w:r>
      <w:r w:rsidR="006C0348">
        <w:t xml:space="preserve">designs with </w:t>
      </w:r>
      <w:r w:rsidR="00251DB3">
        <w:t xml:space="preserve">a </w:t>
      </w:r>
      <w:r>
        <w:t>novel</w:t>
      </w:r>
      <w:r w:rsidR="002511B4">
        <w:t xml:space="preserve">, underutilized </w:t>
      </w:r>
      <w:r>
        <w:t>source of data</w:t>
      </w:r>
      <w:r w:rsidR="00FF7530">
        <w:t>: nonprofit tax returns</w:t>
      </w:r>
      <w:r w:rsidR="006708DF">
        <w:t xml:space="preserve">. </w:t>
      </w:r>
      <w:r w:rsidR="00251DB3">
        <w:t xml:space="preserve">In </w:t>
      </w:r>
      <w:r w:rsidR="00EC1534">
        <w:t>2008</w:t>
      </w:r>
      <w:r w:rsidR="0023182A">
        <w:t xml:space="preserve">, </w:t>
      </w:r>
      <w:r w:rsidR="00251DB3">
        <w:t xml:space="preserve">the </w:t>
      </w:r>
      <w:r w:rsidR="00FF7530">
        <w:t xml:space="preserve">Internal Revenue Service started </w:t>
      </w:r>
      <w:r w:rsidR="00251DB3">
        <w:t>requiring</w:t>
      </w:r>
      <w:r w:rsidR="006708DF">
        <w:t xml:space="preserve"> </w:t>
      </w:r>
      <w:r w:rsidR="00FF7530">
        <w:t xml:space="preserve">U.S. </w:t>
      </w:r>
      <w:r w:rsidR="0023182A">
        <w:t>nonprofits with gross receipts of over $200,000 to disclose foreign</w:t>
      </w:r>
      <w:r w:rsidR="006C0348">
        <w:t xml:space="preserve"> </w:t>
      </w:r>
      <w:r w:rsidR="00251DB3">
        <w:t>expenditures</w:t>
      </w:r>
      <w:r w:rsidR="00A61EE2">
        <w:t xml:space="preserve"> on their </w:t>
      </w:r>
      <w:r w:rsidR="00FF7530">
        <w:t xml:space="preserve">annual </w:t>
      </w:r>
      <w:r w:rsidR="00A61EE2">
        <w:t xml:space="preserve">tax </w:t>
      </w:r>
      <w:r w:rsidR="000655FB">
        <w:t>forms</w:t>
      </w:r>
      <w:r w:rsidR="00AC7E22">
        <w:t>. These forms</w:t>
      </w:r>
      <w:r w:rsidR="00A61EE2">
        <w:t>,</w:t>
      </w:r>
      <w:r w:rsidR="00251DB3">
        <w:t xml:space="preserve"> </w:t>
      </w:r>
      <w:r w:rsidR="00AC7E22">
        <w:t xml:space="preserve">which contain a complete set of </w:t>
      </w:r>
      <w:r w:rsidR="00A61EE2">
        <w:t>financial and administrative information</w:t>
      </w:r>
      <w:r w:rsidR="00AC7E22">
        <w:t xml:space="preserve"> like</w:t>
      </w:r>
      <w:r w:rsidR="00A61EE2">
        <w:t xml:space="preserve"> </w:t>
      </w:r>
      <w:r w:rsidR="006708DF">
        <w:t>mission statement</w:t>
      </w:r>
      <w:r w:rsidR="002511B4">
        <w:t>s</w:t>
      </w:r>
      <w:r w:rsidR="00AC7E22">
        <w:t>, are thus well-positioned to address our core research question</w:t>
      </w:r>
      <w:r w:rsidR="00A61EE2">
        <w:t xml:space="preserve">. </w:t>
      </w:r>
      <w:r w:rsidR="000655FB">
        <w:t>W</w:t>
      </w:r>
      <w:r w:rsidR="000655FB">
        <w:t>e implement the following three-part investigation</w:t>
      </w:r>
      <w:r w:rsidR="000655FB">
        <w:t xml:space="preserve"> a</w:t>
      </w:r>
      <w:r w:rsidR="00AC7E22">
        <w:t>fter collecting these data from 2008 through 202</w:t>
      </w:r>
      <w:r w:rsidR="000655FB">
        <w:t>0</w:t>
      </w:r>
      <w:r w:rsidR="00AC7E22">
        <w:t xml:space="preserve">. </w:t>
      </w:r>
      <w:r w:rsidR="00EC1534">
        <w:t xml:space="preserve">First, we </w:t>
      </w:r>
      <w:r w:rsidR="00DE19CA">
        <w:t xml:space="preserve">determine our relevant sample of </w:t>
      </w:r>
      <w:r w:rsidR="00EC1534">
        <w:t xml:space="preserve">“anti-LGBT+” </w:t>
      </w:r>
      <w:r w:rsidR="00DE19CA">
        <w:t xml:space="preserve">nonprofits </w:t>
      </w:r>
      <w:r w:rsidR="00EC1534">
        <w:t xml:space="preserve">based on </w:t>
      </w:r>
      <w:r w:rsidR="00EC1534">
        <w:t>both a computational text analysis of their mission statement</w:t>
      </w:r>
      <w:r w:rsidR="00DE19CA">
        <w:t>s</w:t>
      </w:r>
      <w:r w:rsidR="00EC1534">
        <w:t xml:space="preserve"> and network affiliations. Second, we then provide a descriptive </w:t>
      </w:r>
      <w:r w:rsidR="009A42C0">
        <w:t>understanding of how foreign expenditures have changed from 2008 through 2020</w:t>
      </w:r>
      <w:r w:rsidR="00E75891">
        <w:t xml:space="preserve">. </w:t>
      </w:r>
      <w:r w:rsidR="009A42C0">
        <w:t xml:space="preserve">Third, </w:t>
      </w:r>
      <w:r w:rsidR="00EC1534">
        <w:t>we then leverage synthetic control methods and regression discontinuities to test</w:t>
      </w:r>
      <w:r w:rsidR="009A42C0">
        <w:t xml:space="preserve"> whether changes in foreign expenditures can be causally attributable to state and federal legalizations of same-sex marriage – a policy with significant symbolic resonance that shaped perceptions of anti-LGBT+ efforts being “lost” in the U.S. (xx).</w:t>
      </w:r>
    </w:p>
    <w:p w14:paraId="2A35A229" w14:textId="77777777" w:rsidR="006A2D39" w:rsidRDefault="00426D72" w:rsidP="006A2D39">
      <w:r>
        <w:tab/>
      </w:r>
      <w:r w:rsidR="00E75891">
        <w:t xml:space="preserve">We find that </w:t>
      </w:r>
      <w:r w:rsidR="00921272">
        <w:t>anti-LGBT+ organizations collective</w:t>
      </w:r>
      <w:r w:rsidR="00921272">
        <w:t>ly invest millions of dollars internationally</w:t>
      </w:r>
      <w:r w:rsidR="00E75891">
        <w:t xml:space="preserve"> each year</w:t>
      </w:r>
      <w:r w:rsidR="00921272">
        <w:t>. Between 2008 and 2020, the average spent per year was xx or xx per organization</w:t>
      </w:r>
      <w:r w:rsidR="00F011BC">
        <w:t xml:space="preserve"> – alone an important descriptive data point. </w:t>
      </w:r>
      <w:r w:rsidR="00921272">
        <w:t xml:space="preserve">We find no support, however, that </w:t>
      </w:r>
      <w:r w:rsidR="00921272">
        <w:t>expenditures are increasing due to progressive reforms in the U.S</w:t>
      </w:r>
      <w:r w:rsidR="00330051">
        <w:t xml:space="preserve">. </w:t>
      </w:r>
      <w:r w:rsidR="00921272">
        <w:t>There does not appear to be a causal connection</w:t>
      </w:r>
      <w:r w:rsidR="00330051">
        <w:t xml:space="preserve"> despite perceptions and activists arguing one</w:t>
      </w:r>
      <w:r w:rsidR="001C4D9F">
        <w:t xml:space="preserve"> exists</w:t>
      </w:r>
      <w:r w:rsidR="00921272">
        <w:t xml:space="preserve">. In fact, </w:t>
      </w:r>
      <w:r w:rsidR="00330051">
        <w:t xml:space="preserve">evidence suggests that foreign expenditures may be decreasing. </w:t>
      </w:r>
      <w:r w:rsidR="00E94ACD">
        <w:t>While t</w:t>
      </w:r>
      <w:r w:rsidR="00330051">
        <w:t>hese findings do not detract from the reality that transnational anti-LGBT+ efforts are growing</w:t>
      </w:r>
      <w:r w:rsidR="00E94ACD">
        <w:t>, they</w:t>
      </w:r>
      <w:r w:rsidR="00330051">
        <w:t xml:space="preserve"> do force a reassessment as to the mechanisms that enable these outcomes.</w:t>
      </w:r>
    </w:p>
    <w:p w14:paraId="5D821594" w14:textId="77777777" w:rsidR="006A2D39" w:rsidRDefault="00330051" w:rsidP="006A2D39">
      <w:r>
        <w:t>There are</w:t>
      </w:r>
      <w:r w:rsidR="00FC6174">
        <w:t xml:space="preserve"> two</w:t>
      </w:r>
      <w:r>
        <w:t xml:space="preserve"> plausible alternatives. First, while transnational anti-LGBT+ networks are </w:t>
      </w:r>
      <w:r w:rsidR="00903478">
        <w:t>increasing</w:t>
      </w:r>
      <w:r>
        <w:t xml:space="preserve">, </w:t>
      </w:r>
      <w:r w:rsidR="00903478">
        <w:t xml:space="preserve">it is </w:t>
      </w:r>
      <w:r>
        <w:t xml:space="preserve">the </w:t>
      </w:r>
      <w:r>
        <w:rPr>
          <w:i/>
          <w:iCs/>
        </w:rPr>
        <w:t>network structure</w:t>
      </w:r>
      <w:r w:rsidR="00903478">
        <w:rPr>
          <w:i/>
          <w:iCs/>
        </w:rPr>
        <w:t xml:space="preserve"> </w:t>
      </w:r>
      <w:r w:rsidR="00903478">
        <w:t xml:space="preserve">that </w:t>
      </w:r>
      <w:r>
        <w:t>enables outcomes rather than increased financial investments</w:t>
      </w:r>
      <w:r w:rsidR="00903478">
        <w:t xml:space="preserve"> </w:t>
      </w:r>
      <w:r w:rsidR="00903478">
        <w:rPr>
          <w:i/>
          <w:iCs/>
        </w:rPr>
        <w:t>per se</w:t>
      </w:r>
      <w:r>
        <w:t xml:space="preserve">. </w:t>
      </w:r>
    </w:p>
    <w:p w14:paraId="369E91B4" w14:textId="6B655213" w:rsidR="00C9506C" w:rsidRDefault="00B96F9F" w:rsidP="006A2D39">
      <w:pPr>
        <w:ind w:firstLine="720"/>
      </w:pPr>
      <w:r>
        <w:t>Or, s</w:t>
      </w:r>
      <w:r w:rsidR="00330051">
        <w:t xml:space="preserve">econd, </w:t>
      </w:r>
      <w:r w:rsidR="00FC6174">
        <w:t>anti-LGBT+ efforts are receiving</w:t>
      </w:r>
      <w:r>
        <w:t xml:space="preserve"> increased</w:t>
      </w:r>
      <w:r w:rsidR="00FC6174">
        <w:t xml:space="preserve"> financial resources from other sources. This could either be from actors based </w:t>
      </w:r>
      <w:r w:rsidR="003A7D65">
        <w:t>outside the U.S.</w:t>
      </w:r>
      <w:r w:rsidR="00FC6174">
        <w:t xml:space="preserve"> (e.g., </w:t>
      </w:r>
      <w:proofErr w:type="spellStart"/>
      <w:r w:rsidR="00FC6174">
        <w:t>CitizenGo</w:t>
      </w:r>
      <w:proofErr w:type="spellEnd"/>
      <w:r w:rsidR="00FC6174">
        <w:t xml:space="preserve"> in Spain,</w:t>
      </w:r>
      <w:r w:rsidR="006A2D39">
        <w:t xml:space="preserve"> Russian</w:t>
      </w:r>
      <w:r w:rsidR="00FC6174">
        <w:t xml:space="preserve"> Orthodox Church) or</w:t>
      </w:r>
      <w:r w:rsidR="003A7D65">
        <w:t xml:space="preserve"> </w:t>
      </w:r>
      <w:r w:rsidR="00FC6174">
        <w:t xml:space="preserve">other U.S.-based entities </w:t>
      </w:r>
      <w:r w:rsidR="003A7D65">
        <w:t xml:space="preserve">besides nonprofits </w:t>
      </w:r>
      <w:r w:rsidR="006A2D39">
        <w:t xml:space="preserve">(e.g., </w:t>
      </w:r>
      <w:r w:rsidR="00FC6174">
        <w:t>churches</w:t>
      </w:r>
      <w:r w:rsidR="006A2D39">
        <w:t>)</w:t>
      </w:r>
      <w:r w:rsidR="00FC6174">
        <w:t xml:space="preserve">. </w:t>
      </w:r>
      <w:r w:rsidR="006A2D39">
        <w:t>Regarding the latter, the plausibility of churches being a conduit for foreign investments is significant. Some research already highlights the role of (para)churches in advancing anti-LGBT+ efforts (</w:t>
      </w:r>
      <w:r w:rsidR="0080695E">
        <w:t>Dreier 2018</w:t>
      </w:r>
      <w:r w:rsidR="006A2D39">
        <w:t xml:space="preserve">). More important for the present case, though, is that </w:t>
      </w:r>
      <w:r w:rsidR="002405D9">
        <w:t xml:space="preserve">churches are not required to disclose expenditures </w:t>
      </w:r>
      <w:r w:rsidR="006A2D39">
        <w:t xml:space="preserve">unlike other tax-exempt </w:t>
      </w:r>
      <w:r w:rsidR="002405D9">
        <w:t>entities</w:t>
      </w:r>
      <w:r w:rsidR="006A2D39">
        <w:t xml:space="preserve"> (e.g., nonprofits)</w:t>
      </w:r>
      <w:r w:rsidR="002405D9">
        <w:t xml:space="preserve">. Therefore, this creates a pathway for foreign expenditures to reach external audiences while evading public </w:t>
      </w:r>
      <w:r w:rsidR="0080695E">
        <w:t>scrutiny</w:t>
      </w:r>
      <w:r w:rsidR="002405D9">
        <w:t xml:space="preserve">. This is relevant because organizations in our sample undergo this transformation during our observation window. </w:t>
      </w:r>
      <w:r w:rsidR="00FC6174">
        <w:lastRenderedPageBreak/>
        <w:t>The Billy Graham Evangelistic Association</w:t>
      </w:r>
      <w:r w:rsidR="00816D1E">
        <w:t>, for example,</w:t>
      </w:r>
      <w:r w:rsidR="00FC6174">
        <w:t xml:space="preserve"> </w:t>
      </w:r>
      <w:r w:rsidR="00816D1E">
        <w:t>spen</w:t>
      </w:r>
      <w:r w:rsidR="006A2D39">
        <w:t>t</w:t>
      </w:r>
      <w:r w:rsidR="00816D1E">
        <w:t xml:space="preserve"> $23.8 million abroad between 2008 and 2014</w:t>
      </w:r>
      <w:r w:rsidR="006A2D39">
        <w:t xml:space="preserve"> as a registered nonprofit</w:t>
      </w:r>
      <w:r w:rsidR="00816D1E">
        <w:t xml:space="preserve">. However, in 2014, it </w:t>
      </w:r>
      <w:r w:rsidR="00816D1E">
        <w:t xml:space="preserve">re-organized into a church </w:t>
      </w:r>
      <w:r w:rsidR="0080695E">
        <w:t>stopped</w:t>
      </w:r>
      <w:r w:rsidR="00816D1E">
        <w:t xml:space="preserve"> disclos</w:t>
      </w:r>
      <w:r w:rsidR="0080695E">
        <w:t>ing</w:t>
      </w:r>
      <w:r w:rsidR="00816D1E">
        <w:t xml:space="preserve"> expenses to the U.S. government. </w:t>
      </w:r>
      <w:r w:rsidR="0080695E">
        <w:t xml:space="preserve">Consequently, </w:t>
      </w:r>
      <w:r w:rsidR="002405D9">
        <w:t xml:space="preserve">a significant source of funds </w:t>
      </w:r>
      <w:r w:rsidR="0080695E">
        <w:t xml:space="preserve">was </w:t>
      </w:r>
      <w:r w:rsidR="002405D9">
        <w:t xml:space="preserve">withdrawn from the </w:t>
      </w:r>
      <w:r w:rsidR="0080695E">
        <w:t>sample just as marriage equality was being introduced</w:t>
      </w:r>
      <w:r w:rsidR="002405D9">
        <w:t xml:space="preserve">. Therefore, while our analysis provides </w:t>
      </w:r>
      <w:r w:rsidR="0080695E">
        <w:t xml:space="preserve">strong </w:t>
      </w:r>
      <w:r w:rsidR="002405D9">
        <w:t xml:space="preserve">evidence that U.S. anti-LGBT+ nonprofits are not increasing investments following progressive change, counter to conventional wisdom, </w:t>
      </w:r>
      <w:r w:rsidR="0080695E">
        <w:t>these findings</w:t>
      </w:r>
      <w:r w:rsidR="001E09DD">
        <w:t xml:space="preserve"> shif</w:t>
      </w:r>
      <w:r w:rsidR="0080695E">
        <w:t>t</w:t>
      </w:r>
      <w:r w:rsidR="001E09DD">
        <w:t xml:space="preserve"> </w:t>
      </w:r>
      <w:r w:rsidR="002405D9">
        <w:t xml:space="preserve">scrutiny </w:t>
      </w:r>
      <w:r w:rsidR="001E09DD">
        <w:t xml:space="preserve">toward these other potential funding sources to understand the true effects of progressive policy change on the internationalization of social movements. </w:t>
      </w:r>
    </w:p>
    <w:p w14:paraId="56558F5D" w14:textId="6DB7A4EC" w:rsidR="00C9506C" w:rsidRDefault="00C9506C" w:rsidP="007C5EBF">
      <w:r>
        <w:br w:type="page"/>
      </w:r>
    </w:p>
    <w:p w14:paraId="114285A3" w14:textId="77777777" w:rsidR="00C9506C" w:rsidRPr="00330051" w:rsidRDefault="00C9506C" w:rsidP="006A2D39">
      <w:pPr>
        <w:ind w:firstLine="720"/>
      </w:pPr>
    </w:p>
    <w:sectPr w:rsidR="00C9506C" w:rsidRPr="00330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AD6"/>
    <w:rsid w:val="0006138C"/>
    <w:rsid w:val="00063144"/>
    <w:rsid w:val="000655FB"/>
    <w:rsid w:val="000B2F7E"/>
    <w:rsid w:val="000B4CFE"/>
    <w:rsid w:val="00107E9B"/>
    <w:rsid w:val="0013629E"/>
    <w:rsid w:val="0018402E"/>
    <w:rsid w:val="001B0DB7"/>
    <w:rsid w:val="001C4D9F"/>
    <w:rsid w:val="001D5F15"/>
    <w:rsid w:val="001E09DD"/>
    <w:rsid w:val="001F30F1"/>
    <w:rsid w:val="0023182A"/>
    <w:rsid w:val="002405D9"/>
    <w:rsid w:val="002511B4"/>
    <w:rsid w:val="00251DB3"/>
    <w:rsid w:val="002C2F92"/>
    <w:rsid w:val="002E29E5"/>
    <w:rsid w:val="00330051"/>
    <w:rsid w:val="00335064"/>
    <w:rsid w:val="0034686C"/>
    <w:rsid w:val="003A1A8F"/>
    <w:rsid w:val="003A7D65"/>
    <w:rsid w:val="00426D72"/>
    <w:rsid w:val="00441F8C"/>
    <w:rsid w:val="0046561B"/>
    <w:rsid w:val="0047428B"/>
    <w:rsid w:val="004835DF"/>
    <w:rsid w:val="004E6B5F"/>
    <w:rsid w:val="005138F4"/>
    <w:rsid w:val="005146C6"/>
    <w:rsid w:val="005D2618"/>
    <w:rsid w:val="005F0827"/>
    <w:rsid w:val="006708DF"/>
    <w:rsid w:val="006A2D39"/>
    <w:rsid w:val="006A54F8"/>
    <w:rsid w:val="006C0348"/>
    <w:rsid w:val="00720C86"/>
    <w:rsid w:val="0073596B"/>
    <w:rsid w:val="00741AD6"/>
    <w:rsid w:val="007C5EBF"/>
    <w:rsid w:val="007D03E6"/>
    <w:rsid w:val="007D345F"/>
    <w:rsid w:val="0080695E"/>
    <w:rsid w:val="00816D1E"/>
    <w:rsid w:val="008302B1"/>
    <w:rsid w:val="00845AB3"/>
    <w:rsid w:val="00851E98"/>
    <w:rsid w:val="00857810"/>
    <w:rsid w:val="008D116A"/>
    <w:rsid w:val="00903478"/>
    <w:rsid w:val="00921272"/>
    <w:rsid w:val="00966F95"/>
    <w:rsid w:val="00983CEE"/>
    <w:rsid w:val="0099090E"/>
    <w:rsid w:val="009A42C0"/>
    <w:rsid w:val="009A5161"/>
    <w:rsid w:val="009A5D12"/>
    <w:rsid w:val="009D54E6"/>
    <w:rsid w:val="009F37FF"/>
    <w:rsid w:val="00A102CD"/>
    <w:rsid w:val="00A61EE2"/>
    <w:rsid w:val="00A77AB4"/>
    <w:rsid w:val="00A834F2"/>
    <w:rsid w:val="00AB2038"/>
    <w:rsid w:val="00AC7E22"/>
    <w:rsid w:val="00AE7B8C"/>
    <w:rsid w:val="00B807C8"/>
    <w:rsid w:val="00B96F9F"/>
    <w:rsid w:val="00BC2C65"/>
    <w:rsid w:val="00BC40EB"/>
    <w:rsid w:val="00C27E62"/>
    <w:rsid w:val="00C54FA6"/>
    <w:rsid w:val="00C570B6"/>
    <w:rsid w:val="00C67BCD"/>
    <w:rsid w:val="00C9506C"/>
    <w:rsid w:val="00CA63DB"/>
    <w:rsid w:val="00CE6D18"/>
    <w:rsid w:val="00D24AF0"/>
    <w:rsid w:val="00D64715"/>
    <w:rsid w:val="00DB74A8"/>
    <w:rsid w:val="00DD64D7"/>
    <w:rsid w:val="00DE19CA"/>
    <w:rsid w:val="00E01DB8"/>
    <w:rsid w:val="00E0372A"/>
    <w:rsid w:val="00E366C7"/>
    <w:rsid w:val="00E75891"/>
    <w:rsid w:val="00E765EB"/>
    <w:rsid w:val="00E94ACD"/>
    <w:rsid w:val="00EA2C96"/>
    <w:rsid w:val="00EC1534"/>
    <w:rsid w:val="00F011BC"/>
    <w:rsid w:val="00F439F8"/>
    <w:rsid w:val="00F44AE1"/>
    <w:rsid w:val="00F73B27"/>
    <w:rsid w:val="00FA36AB"/>
    <w:rsid w:val="00FA4BB5"/>
    <w:rsid w:val="00FC6174"/>
    <w:rsid w:val="00FF7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4BC36D"/>
  <w15:chartTrackingRefBased/>
  <w15:docId w15:val="{4C06EB0A-6444-DD4F-AF2E-24BE6DA8F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7438">
      <w:bodyDiv w:val="1"/>
      <w:marLeft w:val="0"/>
      <w:marRight w:val="0"/>
      <w:marTop w:val="0"/>
      <w:marBottom w:val="0"/>
      <w:divBdr>
        <w:top w:val="none" w:sz="0" w:space="0" w:color="auto"/>
        <w:left w:val="none" w:sz="0" w:space="0" w:color="auto"/>
        <w:bottom w:val="none" w:sz="0" w:space="0" w:color="auto"/>
        <w:right w:val="none" w:sz="0" w:space="0" w:color="auto"/>
      </w:divBdr>
    </w:div>
    <w:div w:id="134219967">
      <w:bodyDiv w:val="1"/>
      <w:marLeft w:val="0"/>
      <w:marRight w:val="0"/>
      <w:marTop w:val="0"/>
      <w:marBottom w:val="0"/>
      <w:divBdr>
        <w:top w:val="none" w:sz="0" w:space="0" w:color="auto"/>
        <w:left w:val="none" w:sz="0" w:space="0" w:color="auto"/>
        <w:bottom w:val="none" w:sz="0" w:space="0" w:color="auto"/>
        <w:right w:val="none" w:sz="0" w:space="0" w:color="auto"/>
      </w:divBdr>
    </w:div>
    <w:div w:id="275331902">
      <w:bodyDiv w:val="1"/>
      <w:marLeft w:val="0"/>
      <w:marRight w:val="0"/>
      <w:marTop w:val="0"/>
      <w:marBottom w:val="0"/>
      <w:divBdr>
        <w:top w:val="none" w:sz="0" w:space="0" w:color="auto"/>
        <w:left w:val="none" w:sz="0" w:space="0" w:color="auto"/>
        <w:bottom w:val="none" w:sz="0" w:space="0" w:color="auto"/>
        <w:right w:val="none" w:sz="0" w:space="0" w:color="auto"/>
      </w:divBdr>
    </w:div>
    <w:div w:id="277613518">
      <w:bodyDiv w:val="1"/>
      <w:marLeft w:val="0"/>
      <w:marRight w:val="0"/>
      <w:marTop w:val="0"/>
      <w:marBottom w:val="0"/>
      <w:divBdr>
        <w:top w:val="none" w:sz="0" w:space="0" w:color="auto"/>
        <w:left w:val="none" w:sz="0" w:space="0" w:color="auto"/>
        <w:bottom w:val="none" w:sz="0" w:space="0" w:color="auto"/>
        <w:right w:val="none" w:sz="0" w:space="0" w:color="auto"/>
      </w:divBdr>
    </w:div>
    <w:div w:id="1278758080">
      <w:bodyDiv w:val="1"/>
      <w:marLeft w:val="0"/>
      <w:marRight w:val="0"/>
      <w:marTop w:val="0"/>
      <w:marBottom w:val="0"/>
      <w:divBdr>
        <w:top w:val="none" w:sz="0" w:space="0" w:color="auto"/>
        <w:left w:val="none" w:sz="0" w:space="0" w:color="auto"/>
        <w:bottom w:val="none" w:sz="0" w:space="0" w:color="auto"/>
        <w:right w:val="none" w:sz="0" w:space="0" w:color="auto"/>
      </w:divBdr>
    </w:div>
    <w:div w:id="206799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5</Pages>
  <Words>1551</Words>
  <Characters>8844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Velasco</dc:creator>
  <cp:keywords/>
  <dc:description/>
  <cp:lastModifiedBy>Kristopher Velasco</cp:lastModifiedBy>
  <cp:revision>43</cp:revision>
  <dcterms:created xsi:type="dcterms:W3CDTF">2022-06-18T01:00:00Z</dcterms:created>
  <dcterms:modified xsi:type="dcterms:W3CDTF">2022-06-19T21:58:00Z</dcterms:modified>
</cp:coreProperties>
</file>