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FED" w14:textId="66CDD759" w:rsidR="003D1692" w:rsidRPr="00127639" w:rsidRDefault="00AE2A8F" w:rsidP="00690D03">
      <w:pPr>
        <w:pStyle w:val="Cm"/>
        <w:spacing w:line="276" w:lineRule="auto"/>
        <w:jc w:val="center"/>
        <w:rPr>
          <w:b/>
          <w:bCs/>
          <w:caps/>
          <w:sz w:val="28"/>
          <w:szCs w:val="28"/>
        </w:rPr>
      </w:pPr>
      <w:r w:rsidRPr="00127639">
        <w:rPr>
          <w:b/>
          <w:bCs/>
          <w:caps/>
          <w:sz w:val="28"/>
          <w:szCs w:val="28"/>
        </w:rPr>
        <w:t xml:space="preserve">A székelyföldi megyék munkanélküliségi rátáinak </w:t>
      </w:r>
      <w:r w:rsidR="008F6522">
        <w:rPr>
          <w:b/>
          <w:bCs/>
          <w:caps/>
          <w:sz w:val="28"/>
          <w:szCs w:val="28"/>
        </w:rPr>
        <w:t xml:space="preserve">összehasonlítása, </w:t>
      </w:r>
      <w:r w:rsidRPr="00127639">
        <w:rPr>
          <w:b/>
          <w:bCs/>
          <w:caps/>
          <w:sz w:val="28"/>
          <w:szCs w:val="28"/>
        </w:rPr>
        <w:t>statisztikai elemzése és előrejelzése. Az ARIMA modell és a mesterséges neuronháló-alapú modellek összehasonlítása.</w:t>
      </w:r>
    </w:p>
    <w:p w14:paraId="04AE4A06" w14:textId="3CBB5040" w:rsidR="007F5E6D" w:rsidRPr="00E32C1C" w:rsidRDefault="007F5E6D" w:rsidP="00690D03">
      <w:pPr>
        <w:pStyle w:val="Cmsor1"/>
        <w:numPr>
          <w:ilvl w:val="0"/>
          <w:numId w:val="1"/>
        </w:numPr>
        <w:ind w:left="0" w:firstLine="0"/>
      </w:pPr>
      <w:r w:rsidRPr="00E32C1C">
        <w:t>Beveze</w:t>
      </w:r>
      <w:r w:rsidR="005678E0" w:rsidRPr="00E32C1C">
        <w:t>tés</w:t>
      </w:r>
    </w:p>
    <w:p w14:paraId="1AE92F07" w14:textId="0D6DBC5C" w:rsidR="007A00DA" w:rsidRDefault="005678E0" w:rsidP="003026B1">
      <w:pPr>
        <w:jc w:val="both"/>
      </w:pPr>
      <w:r>
        <w:t>A dolgozat célja, hogy</w:t>
      </w:r>
      <w:r w:rsidR="009D13BB">
        <w:t xml:space="preserve"> Hargita, Kovászna és Maros megye </w:t>
      </w:r>
      <w:r>
        <w:t>elmúlt 10 év munkanélküliségi rátá</w:t>
      </w:r>
      <w:r w:rsidR="007C521A">
        <w:t>i</w:t>
      </w:r>
      <w:r>
        <w:t>t</w:t>
      </w:r>
      <w:r w:rsidR="00AB7031">
        <w:t xml:space="preserve"> </w:t>
      </w:r>
      <w:r>
        <w:t xml:space="preserve">elemezzem, </w:t>
      </w:r>
      <w:r w:rsidR="007C521A">
        <w:t>majd a</w:t>
      </w:r>
      <w:r w:rsidR="00AB7031">
        <w:t xml:space="preserve"> feldogozott </w:t>
      </w:r>
      <w:r w:rsidR="007C521A">
        <w:t xml:space="preserve">idősoroknak legmegfelelőbb ARIMA </w:t>
      </w:r>
      <w:r w:rsidR="00AB7031">
        <w:t>modell paramétereit meghatározzam</w:t>
      </w:r>
      <w:r w:rsidR="009C2624">
        <w:t xml:space="preserve"> és </w:t>
      </w:r>
      <w:r w:rsidR="00530491">
        <w:t xml:space="preserve">ennek segítségével </w:t>
      </w:r>
      <w:r w:rsidR="009C2624">
        <w:t>a lehető legjobb előrejelzést adjam</w:t>
      </w:r>
      <w:r w:rsidR="00AB7031">
        <w:t xml:space="preserve">.  Ezenkívül </w:t>
      </w:r>
      <w:r w:rsidR="009D13BB">
        <w:t xml:space="preserve">mesterséges neuronháló </w:t>
      </w:r>
      <w:r w:rsidR="00A91C33">
        <w:t>módszerével (</w:t>
      </w:r>
      <w:r w:rsidR="00936244">
        <w:t>ANN</w:t>
      </w:r>
      <w:r w:rsidR="00A91C33">
        <w:t>) is</w:t>
      </w:r>
      <w:r w:rsidR="00936244">
        <w:t xml:space="preserve"> készítsek előrejelzést, végül összehasonlítom a két módszert</w:t>
      </w:r>
      <w:r w:rsidR="00D37847">
        <w:t>, hogy mikor melyik ad jobb becslést</w:t>
      </w:r>
      <w:r w:rsidR="00936244">
        <w:t>.</w:t>
      </w:r>
      <w:r w:rsidR="00D11449">
        <w:t xml:space="preserve"> Ehhez egy olyan programot készítettem Python-ben, amely bekéri az adatsort és a kívánt paramétereket, majd a feldolgozást követően az eredményeket megjeleníti.</w:t>
      </w:r>
      <w:r w:rsidR="00566517">
        <w:t xml:space="preserve"> A feldolgozott adatsor 2023 júliusáig terjed, így a becsléseket könnyen össze tudjuk hasonlítani a regisztrált értékekkel.  </w:t>
      </w:r>
    </w:p>
    <w:p w14:paraId="53975583" w14:textId="730F20C2" w:rsidR="007A00DA" w:rsidRDefault="003026B1" w:rsidP="003026B1">
      <w:pPr>
        <w:pStyle w:val="Cmsor2"/>
        <w:numPr>
          <w:ilvl w:val="1"/>
          <w:numId w:val="1"/>
        </w:numPr>
        <w:ind w:left="0" w:firstLine="0"/>
      </w:pPr>
      <w:r>
        <w:t>A munkanélküliségi ráta meghatározása</w:t>
      </w:r>
      <w:r w:rsidR="005D4BE3">
        <w:t xml:space="preserve"> Romániában</w:t>
      </w:r>
    </w:p>
    <w:p w14:paraId="33432BF3" w14:textId="3FAA671C" w:rsidR="003026B1" w:rsidRDefault="00120283" w:rsidP="00120283">
      <w:pPr>
        <w:pStyle w:val="Listaszerbekezds"/>
        <w:ind w:left="0"/>
        <w:jc w:val="both"/>
      </w:pPr>
      <w:r>
        <w:t>A dolgozat során felhasznált adatok az I</w:t>
      </w:r>
      <w:r w:rsidRPr="00120283">
        <w:t>NSTITUTUL NATIONAL DE STATISTICA</w:t>
      </w:r>
      <w:r>
        <w:t xml:space="preserve"> -</w:t>
      </w:r>
      <w:proofErr w:type="spellStart"/>
      <w:r>
        <w:t>tól</w:t>
      </w:r>
      <w:proofErr w:type="spellEnd"/>
      <w:r>
        <w:t xml:space="preserve"> származnak</w:t>
      </w:r>
      <w:r w:rsidR="005623AE">
        <w:t xml:space="preserve"> </w:t>
      </w:r>
      <w:r>
        <w:t>(Romániai Statisztikai Hivatal)</w:t>
      </w:r>
      <w:r w:rsidR="005623AE">
        <w:t>.</w:t>
      </w:r>
      <w:r w:rsidR="006945F0">
        <w:t xml:space="preserve"> Az ő módszertanuk a következőképpen definiálja a munkanélküliséget és a munkanélküli rátát:</w:t>
      </w:r>
    </w:p>
    <w:p w14:paraId="2F1D19D9" w14:textId="77777777" w:rsidR="004C69C2" w:rsidRDefault="004D08A5" w:rsidP="004D08A5">
      <w:pPr>
        <w:jc w:val="both"/>
      </w:pPr>
      <w:r>
        <w:t xml:space="preserve">A </w:t>
      </w:r>
      <w:r w:rsidRPr="009334BC">
        <w:rPr>
          <w:b/>
          <w:bCs/>
        </w:rPr>
        <w:t>munkanélküliek</w:t>
      </w:r>
      <w:r>
        <w:t xml:space="preserve"> a nemzetközi meghatározás</w:t>
      </w:r>
      <w:r w:rsidR="009334BC">
        <w:t xml:space="preserve"> szerint</w:t>
      </w:r>
      <w:r>
        <w:t xml:space="preserve"> (BIM</w:t>
      </w:r>
      <w:r>
        <w:rPr>
          <w:rStyle w:val="Lbjegyzet-hivatkozs"/>
        </w:rPr>
        <w:footnoteReference w:id="1"/>
      </w:r>
      <w:r>
        <w:t>) szerint a</w:t>
      </w:r>
      <w:r w:rsidR="009334BC">
        <w:t>zok a</w:t>
      </w:r>
      <w:r>
        <w:t xml:space="preserve"> 15-74 év közötti személyek, akik egyidejűleg teljesítik a következő három feltételt:</w:t>
      </w:r>
    </w:p>
    <w:p w14:paraId="55BE2C59" w14:textId="6554F7C2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munkanélküliek</w:t>
      </w:r>
      <w:r w:rsidR="004C69C2">
        <w:t xml:space="preserve"> (a mérés pillanatában nincs bejelentett munkahelyük)</w:t>
      </w:r>
    </w:p>
    <w:p w14:paraId="23999309" w14:textId="46E80F07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a következő két héten belül munkába tudn</w:t>
      </w:r>
      <w:r w:rsidR="00B9128C">
        <w:t>ának</w:t>
      </w:r>
      <w:r>
        <w:t xml:space="preserve"> állni</w:t>
      </w:r>
    </w:p>
    <w:p w14:paraId="4D2C606D" w14:textId="4F95520A" w:rsidR="004D08A5" w:rsidRDefault="004D08A5" w:rsidP="004C69C2">
      <w:pPr>
        <w:pStyle w:val="Listaszerbekezds"/>
        <w:numPr>
          <w:ilvl w:val="0"/>
          <w:numId w:val="2"/>
        </w:numPr>
        <w:jc w:val="both"/>
      </w:pPr>
      <w:r>
        <w:t>az elmúlt négy hétben aktívan munkát kerestek.</w:t>
      </w:r>
    </w:p>
    <w:p w14:paraId="3A7C198D" w14:textId="0961B6FA" w:rsidR="004D08A5" w:rsidRDefault="004D08A5" w:rsidP="00BB28CA">
      <w:pPr>
        <w:jc w:val="both"/>
      </w:pPr>
      <w:r>
        <w:t xml:space="preserve">A </w:t>
      </w:r>
      <w:r w:rsidRPr="00CA6FDE">
        <w:rPr>
          <w:b/>
          <w:bCs/>
        </w:rPr>
        <w:t>munkanélküliségi ráta</w:t>
      </w:r>
      <w:r>
        <w:t xml:space="preserve"> a munkanélküliek aránya a munkaerőben.</w:t>
      </w:r>
    </w:p>
    <w:p w14:paraId="4BBD9A85" w14:textId="24957DEC" w:rsidR="004D08A5" w:rsidRDefault="004D08A5" w:rsidP="00BB28CA">
      <w:pPr>
        <w:pStyle w:val="Listaszerbekezds"/>
        <w:ind w:left="0"/>
        <w:jc w:val="both"/>
      </w:pPr>
      <w:r>
        <w:t>A gazdaságilag aktív népesség a bázisidőszakban az áruk és szolgáltatások előállítására rendelkezésre álló munkaerőt biztosító valamennyi személyt magában foglalja, beleértve a foglalkoztatottakat és a munkanélkülieket is.</w:t>
      </w:r>
      <w:r w:rsidR="00C95B2E">
        <w:t xml:space="preserve"> </w:t>
      </w:r>
      <w:r w:rsidR="00951387">
        <w:tab/>
      </w:r>
      <w:r w:rsidR="00951387">
        <w:tab/>
      </w:r>
      <w:r w:rsidR="00951387">
        <w:tab/>
      </w:r>
      <w:r w:rsidR="00951387">
        <w:tab/>
        <w:t xml:space="preserve">         </w:t>
      </w:r>
      <w:r w:rsidR="00C95B2E">
        <w:t>(I</w:t>
      </w:r>
      <w:r w:rsidR="00710F26">
        <w:t xml:space="preserve">NSSE, </w:t>
      </w:r>
      <w:r w:rsidR="00923D59">
        <w:t>2016</w:t>
      </w:r>
      <w:r w:rsidR="00C95B2E">
        <w:t>)</w:t>
      </w:r>
    </w:p>
    <w:p w14:paraId="0C5D2DB4" w14:textId="3ACE665D" w:rsidR="00165351" w:rsidRDefault="00165351" w:rsidP="004D08A5">
      <w:pPr>
        <w:pStyle w:val="Listaszerbekezds"/>
        <w:ind w:left="0"/>
        <w:jc w:val="both"/>
      </w:pPr>
      <w:r>
        <w:t xml:space="preserve">Tehát a munkanélküliségi ráta megmutatja, hogy a munkaképes lakosság hány százaléka nem rendelkezik a mérés pillanatában munkahellyel, viszont tudna és akarna dolgozni. </w:t>
      </w:r>
    </w:p>
    <w:p w14:paraId="3691F344" w14:textId="39F5E48A" w:rsidR="004D08A5" w:rsidRDefault="008A5201" w:rsidP="008A5201">
      <w:pPr>
        <w:pStyle w:val="Cmsor2"/>
      </w:pPr>
      <w:r>
        <w:lastRenderedPageBreak/>
        <w:t xml:space="preserve">1.2 </w:t>
      </w:r>
      <w:r w:rsidR="005975E5">
        <w:t>Alapvető statisztikai mutatók fogalmai</w:t>
      </w:r>
    </w:p>
    <w:p w14:paraId="69F572FF" w14:textId="4DBD833D" w:rsidR="00CC2F80" w:rsidRDefault="00A9123E" w:rsidP="00AA063F">
      <w:pPr>
        <w:tabs>
          <w:tab w:val="left" w:pos="1494"/>
        </w:tabs>
        <w:spacing w:after="0"/>
        <w:jc w:val="both"/>
      </w:pPr>
      <w:r w:rsidRPr="00A9123E">
        <w:rPr>
          <w:b/>
          <w:bCs/>
        </w:rPr>
        <w:t>Átlag</w:t>
      </w:r>
      <w:r>
        <w:t>: Az egyik legismertebb statisztikai mutató. Jelöljünk n megfigyelést x</w:t>
      </w:r>
      <w:r w:rsidRPr="00A9123E">
        <w:rPr>
          <w:vertAlign w:val="subscript"/>
        </w:rPr>
        <w:t>1</w:t>
      </w:r>
      <w:r>
        <w:t>, x</w:t>
      </w:r>
      <w:r w:rsidRPr="00A9123E">
        <w:rPr>
          <w:vertAlign w:val="subscript"/>
        </w:rPr>
        <w:t>2</w:t>
      </w:r>
      <w:r>
        <w:t xml:space="preserve">, ..., </w:t>
      </w:r>
      <w:proofErr w:type="spellStart"/>
      <w:r>
        <w:t>x</w:t>
      </w:r>
      <w:r w:rsidRPr="00A9123E">
        <w:rPr>
          <w:vertAlign w:val="subscript"/>
        </w:rPr>
        <w:t>n</w:t>
      </w:r>
      <w:proofErr w:type="spellEnd"/>
      <w:r>
        <w:t xml:space="preserve"> -</w:t>
      </w:r>
      <w:proofErr w:type="spellStart"/>
      <w:r>
        <w:t>nel</w:t>
      </w:r>
      <w:proofErr w:type="spellEnd"/>
      <w:r>
        <w:t>. Ekkor az átlaguk:</w:t>
      </w:r>
    </w:p>
    <w:p w14:paraId="4542C46D" w14:textId="41E65E07" w:rsidR="004D08A5" w:rsidRDefault="00000000" w:rsidP="00CC2F80">
      <w:pPr>
        <w:tabs>
          <w:tab w:val="left" w:pos="1494"/>
        </w:tabs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720FD08" w14:textId="7A60A867" w:rsidR="00CC2F80" w:rsidRPr="00CC2F80" w:rsidRDefault="00BC6A58" w:rsidP="00651EEB">
      <w:pPr>
        <w:tabs>
          <w:tab w:val="left" w:pos="1494"/>
        </w:tabs>
        <w:jc w:val="both"/>
        <w:rPr>
          <w:rFonts w:eastAsiaTheme="minorEastAsia"/>
        </w:rPr>
      </w:pPr>
      <w:r w:rsidRPr="001616A4">
        <w:rPr>
          <w:b/>
          <w:bCs/>
        </w:rPr>
        <w:t>Szórás</w:t>
      </w:r>
      <w:r>
        <w:t>:</w:t>
      </w:r>
      <w:r w:rsidR="0049075B" w:rsidRPr="0049075B">
        <w:t xml:space="preserve"> </w:t>
      </w:r>
      <w:r w:rsidR="0049075B">
        <w:t>A szórás egy szóródási mutató, ami azt méri, hogy a megfigyelések mennyire esnek távol az átlagtól. Két minta lehet lényegesen különböző, még ha az átlaguk egyforma is, ugyanis az egyik minta megfigyelései eshetnek jóval közelebb az átlaghoz, mint a másik minta megfigyelései. A szóródás méréséhez az eltérések négyzetét veszi figyelembe, mert ezáltal fejezhető ki az összes megfigyelés távolsága az átlagtól. A szórás kiszámításához négyzetgyököt vonunk az eltérések négyzetének átlagából:</w:t>
      </w:r>
      <w:r w:rsidR="00E20DAC">
        <w:t xml:space="preserve"> </w:t>
      </w:r>
    </w:p>
    <w:p w14:paraId="53ED2370" w14:textId="3DB20557" w:rsidR="00F45B23" w:rsidRDefault="00000000" w:rsidP="00CC2F80">
      <w:pPr>
        <w:tabs>
          <w:tab w:val="left" w:pos="1494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5E7ABA1" w14:textId="77777777" w:rsidR="00AA063F" w:rsidRDefault="0040001F" w:rsidP="00AA063F">
      <w:pPr>
        <w:tabs>
          <w:tab w:val="left" w:pos="1494"/>
        </w:tabs>
        <w:spacing w:after="0"/>
        <w:jc w:val="both"/>
        <w:rPr>
          <w:b/>
          <w:bCs/>
        </w:rPr>
      </w:pPr>
      <w:r w:rsidRPr="0040001F">
        <w:rPr>
          <w:b/>
          <w:bCs/>
        </w:rPr>
        <w:t>A variancia (sz</w:t>
      </w:r>
      <w:r w:rsidR="00E923AB">
        <w:rPr>
          <w:b/>
          <w:bCs/>
        </w:rPr>
        <w:t>ó</w:t>
      </w:r>
      <w:r w:rsidRPr="0040001F">
        <w:rPr>
          <w:b/>
          <w:bCs/>
        </w:rPr>
        <w:t>rásnégyzet)</w:t>
      </w:r>
      <w:r>
        <w:rPr>
          <w:b/>
          <w:bCs/>
        </w:rPr>
        <w:t>:</w:t>
      </w:r>
    </w:p>
    <w:p w14:paraId="6712B26B" w14:textId="53B028FD" w:rsidR="008E3727" w:rsidRPr="0025109B" w:rsidRDefault="0040001F" w:rsidP="00AA063F">
      <w:pPr>
        <w:tabs>
          <w:tab w:val="left" w:pos="1494"/>
        </w:tabs>
        <w:jc w:val="both"/>
      </w:pPr>
      <w:r w:rsidRPr="0040001F">
        <w:t>Egy másik fontos szóródási mutató a variancia, ami egyszerűen a szórás négyzete, vagyis az átlagtól való</w:t>
      </w:r>
      <w:r w:rsidRPr="0040001F">
        <w:rPr>
          <w:b/>
          <w:bCs/>
        </w:rPr>
        <w:t xml:space="preserve"> </w:t>
      </w:r>
      <w:r w:rsidRPr="0040001F">
        <w:t>eltérések négyzeteinek az átlaga:</w:t>
      </w:r>
      <w:r w:rsidR="008E15F4">
        <w:t xml:space="preserve"> </w:t>
      </w:r>
      <w:r w:rsidR="00D37847" w:rsidRPr="00D37847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401922B" w14:textId="289C0DC2" w:rsidR="00E5719B" w:rsidRDefault="008E15F4" w:rsidP="0040001F">
      <w:pPr>
        <w:tabs>
          <w:tab w:val="left" w:pos="1494"/>
        </w:tabs>
        <w:jc w:val="both"/>
        <w:rPr>
          <w:vertAlign w:val="subscript"/>
        </w:rPr>
      </w:pPr>
      <w:r w:rsidRPr="00046026">
        <w:rPr>
          <w:rFonts w:eastAsiaTheme="minorEastAsia"/>
          <w:b/>
          <w:bCs/>
        </w:rPr>
        <w:t>Medián:</w:t>
      </w:r>
      <w:r w:rsidR="00E5719B">
        <w:rPr>
          <w:rFonts w:eastAsiaTheme="minorEastAsia"/>
          <w:b/>
          <w:bCs/>
        </w:rPr>
        <w:t xml:space="preserve"> </w:t>
      </w:r>
      <w:r w:rsidR="00E5719B" w:rsidRPr="00E5719B">
        <w:rPr>
          <w:rFonts w:eastAsiaTheme="minorEastAsia"/>
        </w:rPr>
        <w:t xml:space="preserve">Jelöljük </w:t>
      </w:r>
      <w:bookmarkStart w:id="0" w:name="_Hlk149676269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1</w:t>
      </w:r>
      <w:r w:rsidR="00E5719B" w:rsidRPr="00E5719B">
        <w:rPr>
          <w:rFonts w:eastAsiaTheme="minorEastAsia"/>
        </w:rPr>
        <w:t>, x</w:t>
      </w:r>
      <w:r w:rsidR="00E5719B" w:rsidRPr="00E5719B">
        <w:rPr>
          <w:rFonts w:eastAsiaTheme="minorEastAsia"/>
          <w:vertAlign w:val="subscript"/>
        </w:rPr>
        <w:t>2</w:t>
      </w:r>
      <w:r w:rsidR="00E5719B" w:rsidRPr="00E5719B">
        <w:rPr>
          <w:rFonts w:eastAsiaTheme="minorEastAsia"/>
        </w:rPr>
        <w:t xml:space="preserve">, ..., </w:t>
      </w:r>
      <w:proofErr w:type="spellStart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n</w:t>
      </w:r>
      <w:proofErr w:type="spellEnd"/>
      <w:r w:rsidR="00E5719B" w:rsidRPr="00E5719B">
        <w:rPr>
          <w:rFonts w:eastAsiaTheme="minorEastAsia"/>
        </w:rPr>
        <w:t xml:space="preserve"> </w:t>
      </w:r>
      <w:bookmarkEnd w:id="0"/>
      <w:r w:rsidR="00E5719B" w:rsidRPr="00E5719B">
        <w:rPr>
          <w:rFonts w:eastAsiaTheme="minorEastAsia"/>
        </w:rPr>
        <w:t>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a megfigyeléseket, és jelöljük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1),</w:t>
      </w:r>
      <w:r w:rsidR="00E5719B" w:rsidRPr="00E5719B">
        <w:rPr>
          <w:rFonts w:eastAsiaTheme="minorEastAsia"/>
        </w:rPr>
        <w:t xml:space="preserve"> x</w:t>
      </w:r>
      <w:r w:rsidR="00E5719B" w:rsidRPr="006F505B">
        <w:rPr>
          <w:rFonts w:eastAsiaTheme="minorEastAsia"/>
          <w:vertAlign w:val="subscript"/>
        </w:rPr>
        <w:t>(2),</w:t>
      </w:r>
      <w:r w:rsidR="00E5719B" w:rsidRPr="00E5719B">
        <w:rPr>
          <w:rFonts w:eastAsiaTheme="minorEastAsia"/>
        </w:rPr>
        <w:t xml:space="preserve"> ... , x</w:t>
      </w:r>
      <w:r w:rsidR="00E5719B" w:rsidRPr="006F505B">
        <w:rPr>
          <w:rFonts w:eastAsiaTheme="minorEastAsia"/>
          <w:vertAlign w:val="subscript"/>
        </w:rPr>
        <w:t>(n)</w:t>
      </w:r>
      <w:r w:rsidR="00E5719B" w:rsidRPr="00E5719B">
        <w:rPr>
          <w:rFonts w:eastAsiaTheme="minorEastAsia"/>
        </w:rPr>
        <w:t xml:space="preserve"> 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ugyanezeket a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 xml:space="preserve">megfigyeléseket növekvő sorrendben. Tehát,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</w:t>
      </w:r>
      <w:r w:rsidR="00E5719B" w:rsidRPr="00E5719B">
        <w:rPr>
          <w:rFonts w:eastAsiaTheme="minorEastAsia"/>
        </w:rPr>
        <w:t xml:space="preserve"> a legkisebb, x</w:t>
      </w:r>
      <w:r w:rsidR="00E5719B" w:rsidRPr="006F505B">
        <w:rPr>
          <w:rFonts w:eastAsiaTheme="minorEastAsia"/>
          <w:vertAlign w:val="subscript"/>
        </w:rPr>
        <w:t>(2)</w:t>
      </w:r>
      <w:r w:rsidR="00E5719B" w:rsidRPr="00E5719B">
        <w:rPr>
          <w:rFonts w:eastAsiaTheme="minorEastAsia"/>
        </w:rPr>
        <w:t xml:space="preserve"> a következő,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... és x</w:t>
      </w:r>
      <w:r w:rsidR="00E5719B" w:rsidRPr="006F505B">
        <w:rPr>
          <w:rFonts w:eastAsiaTheme="minorEastAsia"/>
          <w:vertAlign w:val="subscript"/>
        </w:rPr>
        <w:t>(n)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legnagyobb:</w:t>
      </w:r>
      <w:r w:rsidR="001D0C7B">
        <w:rPr>
          <w:rFonts w:eastAsiaTheme="minorEastAsia"/>
        </w:rPr>
        <w:tab/>
      </w:r>
      <w:r w:rsidR="00E9216E" w:rsidRPr="00E9216E">
        <w:rPr>
          <w:rFonts w:eastAsiaTheme="minorEastAsia"/>
        </w:rPr>
        <w:t xml:space="preserve"> </w:t>
      </w:r>
      <w:r w:rsidR="00E9216E" w:rsidRPr="00E9216E">
        <w:t>x</w:t>
      </w:r>
      <w:r w:rsidR="00E9216E" w:rsidRPr="00E9216E">
        <w:rPr>
          <w:vertAlign w:val="subscript"/>
        </w:rPr>
        <w:t xml:space="preserve">(1) </w:t>
      </w:r>
      <w:r w:rsidR="00E9216E" w:rsidRPr="00E9216E">
        <w:t>≤ x</w:t>
      </w:r>
      <w:r w:rsidR="00E9216E" w:rsidRPr="00E9216E">
        <w:rPr>
          <w:vertAlign w:val="subscript"/>
        </w:rPr>
        <w:t>(2)</w:t>
      </w:r>
      <w:r w:rsidR="00E9216E" w:rsidRPr="00E9216E">
        <w:t xml:space="preserve"> ≤ </w:t>
      </w:r>
      <w:r w:rsidR="00E9216E" w:rsidRPr="00E9216E">
        <w:rPr>
          <w:rFonts w:ascii="Cambria Math" w:hAnsi="Cambria Math" w:cs="Cambria Math"/>
        </w:rPr>
        <w:t>⋯</w:t>
      </w:r>
      <w:r w:rsidR="00E9216E" w:rsidRPr="00E9216E">
        <w:t xml:space="preserve"> </w:t>
      </w:r>
      <w:r w:rsidR="00E9216E" w:rsidRPr="00E9216E">
        <w:rPr>
          <w:rFonts w:cs="Times New Roman"/>
        </w:rPr>
        <w:t>≤</w:t>
      </w:r>
      <w:r w:rsidR="00E9216E" w:rsidRPr="00E9216E">
        <w:t xml:space="preserve"> x</w:t>
      </w:r>
      <w:r w:rsidR="00E9216E" w:rsidRPr="00E9216E">
        <w:rPr>
          <w:vertAlign w:val="subscript"/>
        </w:rPr>
        <w:t>(n)</w:t>
      </w:r>
    </w:p>
    <w:p w14:paraId="4028D8C3" w14:textId="77777777" w:rsidR="0086449E" w:rsidRDefault="001D0C7B" w:rsidP="009A40F3">
      <w:pPr>
        <w:tabs>
          <w:tab w:val="left" w:pos="1494"/>
        </w:tabs>
        <w:jc w:val="both"/>
        <w:rPr>
          <w:rFonts w:eastAsiaTheme="minorEastAsia"/>
        </w:rPr>
      </w:pPr>
      <w:r w:rsidRPr="001D0C7B">
        <w:rPr>
          <w:rFonts w:eastAsiaTheme="minorEastAsia"/>
        </w:rPr>
        <w:t xml:space="preserve">A medián a sorrendbe állított </w:t>
      </w:r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1</w:t>
      </w:r>
      <w:r w:rsidR="005B4B94" w:rsidRPr="005B4B94">
        <w:rPr>
          <w:rFonts w:eastAsiaTheme="minorEastAsia"/>
        </w:rPr>
        <w:t>, x</w:t>
      </w:r>
      <w:r w:rsidR="005B4B94" w:rsidRPr="005B4B94">
        <w:rPr>
          <w:rFonts w:eastAsiaTheme="minorEastAsia"/>
          <w:vertAlign w:val="subscript"/>
        </w:rPr>
        <w:t>2</w:t>
      </w:r>
      <w:r w:rsidR="005B4B94" w:rsidRPr="005B4B94">
        <w:rPr>
          <w:rFonts w:eastAsiaTheme="minorEastAsia"/>
        </w:rPr>
        <w:t xml:space="preserve">, ..., </w:t>
      </w:r>
      <w:proofErr w:type="spellStart"/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n</w:t>
      </w:r>
      <w:proofErr w:type="spellEnd"/>
      <w:r w:rsidR="005B4B94" w:rsidRPr="005B4B94">
        <w:rPr>
          <w:rFonts w:eastAsiaTheme="minorEastAsia"/>
        </w:rPr>
        <w:t xml:space="preserve"> </w:t>
      </w:r>
      <w:r w:rsidRPr="001D0C7B">
        <w:rPr>
          <w:rFonts w:eastAsiaTheme="minorEastAsia"/>
        </w:rPr>
        <w:t>megfigyelések középső megfigyelése. Ha n</w:t>
      </w:r>
      <w:r>
        <w:rPr>
          <w:rFonts w:eastAsiaTheme="minorEastAsia"/>
        </w:rPr>
        <w:t xml:space="preserve"> </w:t>
      </w:r>
      <w:r w:rsidRPr="001D0C7B">
        <w:rPr>
          <w:rFonts w:eastAsiaTheme="minorEastAsia"/>
        </w:rPr>
        <w:t>páratlan, akkor egészen egyszerű; a medián a (n+</w:t>
      </w:r>
      <w:proofErr w:type="gramStart"/>
      <w:r w:rsidRPr="001D0C7B">
        <w:rPr>
          <w:rFonts w:eastAsiaTheme="minorEastAsia"/>
        </w:rPr>
        <w:t>1)/</w:t>
      </w:r>
      <w:proofErr w:type="gramEnd"/>
      <w:r w:rsidRPr="001D0C7B">
        <w:rPr>
          <w:rFonts w:eastAsiaTheme="minorEastAsia"/>
        </w:rPr>
        <w:t>2 sorrendű megfigyelés</w:t>
      </w:r>
      <w:r w:rsidR="00AE437A">
        <w:rPr>
          <w:rFonts w:eastAsiaTheme="minorEastAsia"/>
        </w:rPr>
        <w:t>.</w:t>
      </w:r>
    </w:p>
    <w:p w14:paraId="79481DD9" w14:textId="77777777" w:rsidR="0076671A" w:rsidRPr="00B31C90" w:rsidRDefault="00AE437A" w:rsidP="009A40F3">
      <w:pPr>
        <w:tabs>
          <w:tab w:val="left" w:pos="1494"/>
        </w:tabs>
        <w:jc w:val="both"/>
        <w:rPr>
          <w:rFonts w:ascii="Cambria Math" w:eastAsiaTheme="minorEastAsia" w:hAnsi="Cambria Math"/>
          <w:i/>
        </w:rPr>
      </w:pPr>
      <w:r w:rsidRPr="00AE437A">
        <w:rPr>
          <w:rFonts w:eastAsiaTheme="minorEastAsia"/>
        </w:rPr>
        <w:t>Ha n páros, akkor 2 középső megfigyelés van, n/2 és (n/</w:t>
      </w:r>
      <w:proofErr w:type="gramStart"/>
      <w:r w:rsidRPr="00AE437A">
        <w:rPr>
          <w:rFonts w:eastAsiaTheme="minorEastAsia"/>
        </w:rPr>
        <w:t>2)+</w:t>
      </w:r>
      <w:proofErr w:type="gramEnd"/>
      <w:r w:rsidRPr="00AE437A">
        <w:rPr>
          <w:rFonts w:eastAsiaTheme="minorEastAsia"/>
        </w:rPr>
        <w:t>1, tehát a medián</w:t>
      </w:r>
      <w:r w:rsidR="009A40F3">
        <w:rPr>
          <w:rFonts w:eastAsiaTheme="minorEastAsia"/>
        </w:rPr>
        <w:t>:</w:t>
      </w:r>
      <w:r w:rsidR="009A40F3" w:rsidRPr="009A40F3">
        <w:rPr>
          <w:rFonts w:ascii="Cambria Math" w:eastAsiaTheme="minorEastAsia" w:hAnsi="Cambria Math"/>
          <w:i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1BE68A60" w14:textId="2C1AABC7" w:rsidR="0062430A" w:rsidRDefault="0076671A" w:rsidP="0076671A">
      <w:pPr>
        <w:tabs>
          <w:tab w:val="left" w:pos="1494"/>
        </w:tabs>
        <w:jc w:val="right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(Sándor – Tánczos ,20</w:t>
      </w:r>
      <w:r w:rsidR="00E923AB">
        <w:rPr>
          <w:rFonts w:ascii="Cambria Math" w:eastAsiaTheme="minorEastAsia" w:hAnsi="Cambria Math"/>
          <w:i/>
        </w:rPr>
        <w:t>1</w:t>
      </w:r>
      <w:r>
        <w:rPr>
          <w:rFonts w:ascii="Cambria Math" w:eastAsiaTheme="minorEastAsia" w:hAnsi="Cambria Math"/>
          <w:i/>
        </w:rPr>
        <w:t>?)</w:t>
      </w:r>
    </w:p>
    <w:p w14:paraId="6FB4410E" w14:textId="77777777" w:rsidR="00075427" w:rsidRDefault="00075427" w:rsidP="0076671A">
      <w:pPr>
        <w:tabs>
          <w:tab w:val="left" w:pos="1494"/>
        </w:tabs>
        <w:jc w:val="right"/>
        <w:rPr>
          <w:rFonts w:ascii="Cambria Math" w:eastAsiaTheme="minorEastAsia" w:hAnsi="Cambria Math"/>
          <w:i/>
        </w:rPr>
      </w:pPr>
    </w:p>
    <w:p w14:paraId="036DC924" w14:textId="4A765A5D" w:rsidR="00075427" w:rsidRDefault="0062430A" w:rsidP="00075427">
      <w:pPr>
        <w:pStyle w:val="Cmsor2"/>
        <w:numPr>
          <w:ilvl w:val="1"/>
          <w:numId w:val="1"/>
        </w:numPr>
        <w:ind w:left="142" w:hanging="142"/>
        <w:rPr>
          <w:rFonts w:eastAsiaTheme="minorEastAsia"/>
        </w:rPr>
      </w:pPr>
      <w:r>
        <w:rPr>
          <w:rFonts w:eastAsiaTheme="minorEastAsia"/>
        </w:rPr>
        <w:lastRenderedPageBreak/>
        <w:t>AR, MA, ARMA, ARIMA</w:t>
      </w:r>
    </w:p>
    <w:p w14:paraId="449894C9" w14:textId="53FD380C" w:rsidR="00DC779A" w:rsidRDefault="00DC779A" w:rsidP="00913944">
      <w:pPr>
        <w:jc w:val="both"/>
      </w:pPr>
      <w:r w:rsidRPr="00D30419">
        <w:rPr>
          <w:b/>
          <w:bCs/>
          <w:szCs w:val="24"/>
        </w:rPr>
        <w:t xml:space="preserve">Az </w:t>
      </w:r>
      <w:proofErr w:type="spellStart"/>
      <w:r w:rsidRPr="00D30419">
        <w:rPr>
          <w:b/>
          <w:bCs/>
          <w:szCs w:val="24"/>
        </w:rPr>
        <w:t>autoregresszió</w:t>
      </w:r>
      <w:proofErr w:type="spellEnd"/>
      <w:r w:rsidR="00D30419" w:rsidRPr="00D30419">
        <w:rPr>
          <w:b/>
          <w:bCs/>
          <w:szCs w:val="24"/>
        </w:rPr>
        <w:t xml:space="preserve"> (AR)</w:t>
      </w:r>
      <w:r w:rsidRPr="00A85297">
        <w:rPr>
          <w:szCs w:val="24"/>
        </w:rPr>
        <w:t xml:space="preserve"> azt jelenti, hogy az aktuális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értéket a korábbi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értékek határozzák meg. Az AR komponens arra utal, hogy az aktuális érték korrelál az előző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értékekkel</w:t>
      </w:r>
      <w:r>
        <w:rPr>
          <w:szCs w:val="24"/>
        </w:rPr>
        <w:t>. A</w:t>
      </w:r>
      <w:r w:rsidRPr="00A85297">
        <w:rPr>
          <w:szCs w:val="24"/>
        </w:rPr>
        <w:t xml:space="preserve"> "p" paraméter megadja az </w:t>
      </w:r>
      <w:proofErr w:type="spellStart"/>
      <w:r w:rsidRPr="00A85297">
        <w:rPr>
          <w:szCs w:val="24"/>
        </w:rPr>
        <w:t>autoregressziós</w:t>
      </w:r>
      <w:proofErr w:type="spellEnd"/>
      <w:r w:rsidRPr="00A85297">
        <w:rPr>
          <w:szCs w:val="24"/>
        </w:rPr>
        <w:t xml:space="preserve"> rendszámot, </w:t>
      </w:r>
      <w:r>
        <w:rPr>
          <w:szCs w:val="24"/>
        </w:rPr>
        <w:t xml:space="preserve">vagyis </w:t>
      </w:r>
      <w:r w:rsidRPr="00A85297">
        <w:rPr>
          <w:szCs w:val="24"/>
        </w:rPr>
        <w:t>hány</w:t>
      </w:r>
      <w:r>
        <w:rPr>
          <w:szCs w:val="24"/>
        </w:rPr>
        <w:t xml:space="preserve"> darab </w:t>
      </w:r>
      <w:r w:rsidRPr="00A85297">
        <w:rPr>
          <w:szCs w:val="24"/>
        </w:rPr>
        <w:t>el</w:t>
      </w:r>
      <w:r w:rsidR="00251B68">
        <w:rPr>
          <w:noProof/>
        </w:rPr>
        <w:drawing>
          <wp:inline distT="0" distB="0" distL="0" distR="0" wp14:anchorId="345C0039" wp14:editId="488158B5">
            <wp:extent cx="3648710" cy="218440"/>
            <wp:effectExtent l="0" t="0" r="8890" b="0"/>
            <wp:docPr id="21282527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2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85297">
        <w:rPr>
          <w:szCs w:val="24"/>
        </w:rPr>
        <w:t>őző</w:t>
      </w:r>
      <w:proofErr w:type="spellEnd"/>
      <w:r w:rsidRPr="00A85297">
        <w:rPr>
          <w:szCs w:val="24"/>
        </w:rPr>
        <w:t xml:space="preserve">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értéket használunk az aktuális érték becsléséhez.</w:t>
      </w:r>
    </w:p>
    <w:p w14:paraId="72A0D17F" w14:textId="50C40D6E" w:rsidR="00E32C1C" w:rsidRDefault="00075427" w:rsidP="004D5DBD">
      <w:pPr>
        <w:jc w:val="both"/>
      </w:pPr>
      <w:r>
        <w:t>Egy p-</w:t>
      </w:r>
      <w:r>
        <w:t>rendű autoregresszív</w:t>
      </w:r>
      <w:r>
        <w:t xml:space="preserve"> modellt, amelynek </w:t>
      </w:r>
      <w:r>
        <w:t>jelzése</w:t>
      </w:r>
      <w:r>
        <w:t xml:space="preserve"> AR</w:t>
      </w:r>
      <w:r w:rsidRPr="00075427">
        <w:rPr>
          <w:vertAlign w:val="subscript"/>
        </w:rPr>
        <w:t>(p),</w:t>
      </w:r>
      <w:r>
        <w:t xml:space="preserve"> a </w:t>
      </w:r>
      <w:r>
        <w:t>következőképpen értelmezünk:</w:t>
      </w:r>
      <w:r w:rsidR="009A40F3" w:rsidRPr="009A40F3">
        <w:br/>
      </w:r>
    </w:p>
    <w:p w14:paraId="02635E58" w14:textId="77777777" w:rsidR="004D5DBD" w:rsidRDefault="00D30419" w:rsidP="004D5DBD">
      <w:pPr>
        <w:jc w:val="both"/>
        <w:rPr>
          <w:noProof/>
        </w:rPr>
      </w:pPr>
      <w:r w:rsidRPr="00D30419">
        <w:rPr>
          <w:rFonts w:eastAsiaTheme="minorEastAsia"/>
        </w:rPr>
        <w:t xml:space="preserve">A </w:t>
      </w:r>
      <w:r w:rsidRPr="00E16CA0">
        <w:rPr>
          <w:rFonts w:eastAsiaTheme="minorEastAsia"/>
          <w:b/>
          <w:bCs/>
        </w:rPr>
        <w:t>mozgóátlag</w:t>
      </w:r>
      <w:r w:rsidR="00E16CA0" w:rsidRPr="00E16CA0">
        <w:rPr>
          <w:rFonts w:eastAsiaTheme="minorEastAsia"/>
          <w:b/>
          <w:bCs/>
        </w:rPr>
        <w:t xml:space="preserve"> (MA)</w:t>
      </w:r>
      <w:r w:rsidRPr="00D30419">
        <w:rPr>
          <w:rFonts w:eastAsiaTheme="minorEastAsia"/>
        </w:rPr>
        <w:t xml:space="preserve"> azt jelenti, hogy az aktuális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értéket a korábbi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hibák lineáris kombinációjaként becsüljük meg. Az MA komponens arra utal, hogy az aktuális érték korrelál az előző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hibákkal, és az "q" paraméter megadja a mozgóátlag rendszámát, azaz hány korábbi hibaértéket használunk az aktuális érték becsléséhez.</w:t>
      </w:r>
      <w:r w:rsidR="004D5DBD" w:rsidRPr="004D5DBD">
        <w:rPr>
          <w:noProof/>
        </w:rPr>
        <w:t xml:space="preserve"> </w:t>
      </w:r>
    </w:p>
    <w:p w14:paraId="4FD0C15B" w14:textId="77777777" w:rsidR="00390153" w:rsidRDefault="004D5DBD" w:rsidP="004D5DBD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A773666" wp14:editId="3D93E9BF">
            <wp:extent cx="3665908" cy="208915"/>
            <wp:effectExtent l="0" t="0" r="0" b="635"/>
            <wp:docPr id="1671920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2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643" cy="2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CFB" w14:textId="5B819055" w:rsidR="00390153" w:rsidRDefault="00390153" w:rsidP="004D5DBD">
      <w:pPr>
        <w:jc w:val="both"/>
        <w:rPr>
          <w:rFonts w:eastAsiaTheme="minorEastAsia"/>
        </w:rPr>
      </w:pPr>
      <w:r w:rsidRPr="00F14CDE">
        <w:rPr>
          <w:rFonts w:eastAsiaTheme="minorEastAsia"/>
          <w:b/>
          <w:bCs/>
        </w:rPr>
        <w:t xml:space="preserve">Az integráció </w:t>
      </w:r>
      <w:r w:rsidR="00F14CDE" w:rsidRPr="00F14CDE">
        <w:rPr>
          <w:rFonts w:eastAsiaTheme="minorEastAsia"/>
          <w:b/>
          <w:bCs/>
        </w:rPr>
        <w:t>(I)</w:t>
      </w:r>
      <w:r w:rsidR="00F14CDE">
        <w:rPr>
          <w:rFonts w:eastAsiaTheme="minorEastAsia"/>
        </w:rPr>
        <w:t xml:space="preserve"> </w:t>
      </w:r>
      <w:r w:rsidRPr="00390153">
        <w:rPr>
          <w:rFonts w:eastAsiaTheme="minorEastAsia"/>
        </w:rPr>
        <w:t xml:space="preserve">azt jelenti, hogy az idősorozatot különbségként vagy differenciálként kezeljük. Az I komponens segít megszüntetni az idősorozatban található trendeket vagy szezonális </w:t>
      </w:r>
      <w:proofErr w:type="spellStart"/>
      <w:r w:rsidRPr="00390153">
        <w:rPr>
          <w:rFonts w:eastAsiaTheme="minorEastAsia"/>
        </w:rPr>
        <w:t>mintázatokat</w:t>
      </w:r>
      <w:proofErr w:type="spellEnd"/>
      <w:r w:rsidRPr="00390153">
        <w:rPr>
          <w:rFonts w:eastAsiaTheme="minorEastAsia"/>
        </w:rPr>
        <w:t>. Az "d" paraméter megadja az integrációs rendszámot, ami azt jelenti, hány alkalommal végezzük el az idősorozat differenciálását.</w:t>
      </w:r>
    </w:p>
    <w:p w14:paraId="710D7EB6" w14:textId="39C940B1" w:rsidR="00AE437A" w:rsidRDefault="00690D03" w:rsidP="00E32C1C">
      <w:pPr>
        <w:pStyle w:val="Cmsor1"/>
        <w:numPr>
          <w:ilvl w:val="0"/>
          <w:numId w:val="1"/>
        </w:numPr>
        <w:ind w:left="0" w:firstLine="0"/>
      </w:pPr>
      <w:r w:rsidRPr="00E32C1C">
        <w:t>Felhasznált technológiák, módszerek</w:t>
      </w:r>
    </w:p>
    <w:p w14:paraId="422FE865" w14:textId="788EEFAB" w:rsidR="009B4A27" w:rsidRPr="00251B68" w:rsidRDefault="0041087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r w:rsidRPr="00251B68">
        <w:t>Python nyelv</w:t>
      </w:r>
    </w:p>
    <w:p w14:paraId="30E7A76C" w14:textId="74BAD9CD" w:rsidR="00251B68" w:rsidRPr="00251B68" w:rsidRDefault="00251B6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proofErr w:type="spellStart"/>
      <w:r w:rsidRPr="00251B68">
        <w:t>Numpy</w:t>
      </w:r>
      <w:proofErr w:type="spellEnd"/>
    </w:p>
    <w:p w14:paraId="78952855" w14:textId="493EB995" w:rsidR="00251B68" w:rsidRPr="00251B68" w:rsidRDefault="00251B6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proofErr w:type="spellStart"/>
      <w:r w:rsidRPr="00251B68">
        <w:t>matplotlib</w:t>
      </w:r>
      <w:proofErr w:type="spellEnd"/>
    </w:p>
    <w:p w14:paraId="081C8E87" w14:textId="5C00672F" w:rsidR="00251B68" w:rsidRPr="00251B68" w:rsidRDefault="00251B6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proofErr w:type="spellStart"/>
      <w:r w:rsidRPr="00251B68">
        <w:t>pandas</w:t>
      </w:r>
      <w:proofErr w:type="spellEnd"/>
    </w:p>
    <w:p w14:paraId="484142CC" w14:textId="1E009116" w:rsidR="00251B68" w:rsidRPr="00251B68" w:rsidRDefault="00251B6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proofErr w:type="spellStart"/>
      <w:r w:rsidRPr="00251B68">
        <w:t>statistics</w:t>
      </w:r>
      <w:proofErr w:type="spellEnd"/>
    </w:p>
    <w:p w14:paraId="7C469B39" w14:textId="32530079" w:rsidR="00251B68" w:rsidRPr="00251B68" w:rsidRDefault="00251B68" w:rsidP="00251B68">
      <w:pPr>
        <w:pStyle w:val="Listaszerbekezds"/>
        <w:numPr>
          <w:ilvl w:val="0"/>
          <w:numId w:val="3"/>
        </w:numPr>
        <w:spacing w:line="276" w:lineRule="auto"/>
        <w:ind w:left="993" w:hanging="284"/>
      </w:pPr>
      <w:proofErr w:type="spellStart"/>
      <w:r w:rsidRPr="00251B68">
        <w:t>statsmodels</w:t>
      </w:r>
      <w:proofErr w:type="spellEnd"/>
    </w:p>
    <w:p w14:paraId="02101C07" w14:textId="016EA835" w:rsidR="009B4A27" w:rsidRDefault="009B4A27" w:rsidP="0031206F">
      <w:pPr>
        <w:pStyle w:val="Cmsor2"/>
        <w:numPr>
          <w:ilvl w:val="1"/>
          <w:numId w:val="1"/>
        </w:numPr>
        <w:ind w:left="0" w:firstLine="0"/>
      </w:pPr>
      <w:r>
        <w:t>Beolvasás</w:t>
      </w:r>
    </w:p>
    <w:p w14:paraId="7C1D80D5" w14:textId="31B0EEA6" w:rsidR="00F73579" w:rsidRDefault="00EF2EAB" w:rsidP="00F2627C">
      <w:pPr>
        <w:jc w:val="both"/>
      </w:pPr>
      <w:r>
        <w:t>A</w:t>
      </w:r>
      <w:r w:rsidR="00A30141">
        <w:t>z adat</w:t>
      </w:r>
      <w:r>
        <w:t>beolvasásra egy függvényt írtam, amely két paramétert vár: a beolvasandó Excel file útvonalát (file), és azt, hogy a legutolsó megfigyeléstől számítva hány</w:t>
      </w:r>
      <w:r w:rsidR="00A30141">
        <w:t xml:space="preserve"> évre visszamenőleg dolgozza fel ad adatsort. Ez azért hasznos szerintem, mert az én esetemben a letöltött adatforrás több, mint 30 év havi munkanélküliségi rátáit tartalmazta, viszont jó, ha nem kell módosítsuk a bemeneti fájlt,</w:t>
      </w:r>
      <w:r w:rsidR="009901B2">
        <w:t xml:space="preserve"> ehelyett</w:t>
      </w:r>
      <w:r w:rsidR="00A30141">
        <w:t xml:space="preserve"> </w:t>
      </w:r>
      <w:r w:rsidR="00F73579">
        <w:t xml:space="preserve">inkább kezelje azt rugalmasan a program. Ha ugyanazon </w:t>
      </w:r>
      <w:r w:rsidR="00737F96">
        <w:t xml:space="preserve">idősorból más </w:t>
      </w:r>
      <w:r w:rsidR="00737F96">
        <w:lastRenderedPageBreak/>
        <w:t xml:space="preserve">és más </w:t>
      </w:r>
      <w:r w:rsidR="00602837">
        <w:t>sokaságú</w:t>
      </w:r>
      <w:r w:rsidR="00737F96">
        <w:t xml:space="preserve"> megfigyelést vizsgálunk, az teljesen más eredményekhez vezethet a teszteket és előrejelzéseket tekintve.</w:t>
      </w:r>
    </w:p>
    <w:p w14:paraId="7313558C" w14:textId="071A916A" w:rsidR="00737F96" w:rsidRDefault="00737F96" w:rsidP="00F2627C">
      <w:pPr>
        <w:jc w:val="both"/>
      </w:pPr>
      <w:r>
        <w:t>A bemeneti .</w:t>
      </w:r>
      <w:proofErr w:type="spellStart"/>
      <w:r>
        <w:t>xlsx</w:t>
      </w:r>
      <w:proofErr w:type="spellEnd"/>
      <w:r>
        <w:t xml:space="preserve"> fáj a következő módon kell legyen előkészítve</w:t>
      </w:r>
      <w:r w:rsidR="00F2627C">
        <w:t xml:space="preserve">, hogy a program jól tudja beolvasni: </w:t>
      </w:r>
    </w:p>
    <w:p w14:paraId="258D5C09" w14:textId="77777777" w:rsidR="00892C77" w:rsidRDefault="00F2627C" w:rsidP="00892C77">
      <w:pPr>
        <w:keepNext/>
        <w:jc w:val="center"/>
      </w:pPr>
      <w:r>
        <w:rPr>
          <w:noProof/>
        </w:rPr>
        <w:drawing>
          <wp:inline distT="0" distB="0" distL="0" distR="0" wp14:anchorId="6317156A" wp14:editId="2696DC93">
            <wp:extent cx="4074566" cy="1955091"/>
            <wp:effectExtent l="0" t="0" r="2540" b="7620"/>
            <wp:docPr id="7698338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3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19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A14" w14:textId="4018D788" w:rsidR="00F2627C" w:rsidRDefault="00000000" w:rsidP="00892C7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37847">
        <w:rPr>
          <w:noProof/>
        </w:rPr>
        <w:t>1</w:t>
      </w:r>
      <w:r>
        <w:rPr>
          <w:noProof/>
        </w:rPr>
        <w:fldChar w:fldCharType="end"/>
      </w:r>
      <w:r w:rsidR="00892C77">
        <w:t>. ábra: A bemeneti táblázat mintája</w:t>
      </w:r>
      <w:r w:rsidR="00F30BD3">
        <w:t xml:space="preserve"> (saját ábra)</w:t>
      </w:r>
    </w:p>
    <w:p w14:paraId="745A1CF4" w14:textId="76235D77" w:rsidR="00F2627C" w:rsidRDefault="00E05A5E" w:rsidP="00F2627C">
      <w:pPr>
        <w:jc w:val="both"/>
      </w:pPr>
      <w:r>
        <w:t xml:space="preserve">Tehát az első sor mindenképpen fejléc, az első oszlopban a megfigyelések időpontjai (ezek fogják a grafikonon az x tengely értékeit adni), míg a további </w:t>
      </w:r>
      <w:r w:rsidR="00C9572A">
        <w:t>három oszlop a három megye adatsorait tartalmazza. Fontos, hogy időpont szerint növekvő sorrendben legyenek a megfigyelések</w:t>
      </w:r>
      <w:r w:rsidR="00992C37">
        <w:t xml:space="preserve">, illetve a munkalap neve </w:t>
      </w:r>
      <w:r w:rsidR="0074251A">
        <w:t>„</w:t>
      </w:r>
      <w:proofErr w:type="spellStart"/>
      <w:r w:rsidR="00992C37">
        <w:t>data</w:t>
      </w:r>
      <w:proofErr w:type="spellEnd"/>
      <w:r w:rsidR="0074251A">
        <w:t>” kell legyen</w:t>
      </w:r>
      <w:r w:rsidR="00C9572A">
        <w:t xml:space="preserve">. </w:t>
      </w:r>
      <w:r w:rsidR="00992C37">
        <w:t xml:space="preserve"> A program bekéri beolvasás előtt azt, hogy hány db megfigyelés lesz ahhoz, hogy megfelelően tudja kiválasztani a kívánt szakaszt az adatsorból.</w:t>
      </w:r>
    </w:p>
    <w:p w14:paraId="0D8765A5" w14:textId="77777777" w:rsidR="00992C37" w:rsidRDefault="00992C37" w:rsidP="00C71520">
      <w:pPr>
        <w:keepNext/>
        <w:jc w:val="center"/>
      </w:pPr>
      <w:r>
        <w:rPr>
          <w:noProof/>
        </w:rPr>
        <w:drawing>
          <wp:inline distT="0" distB="0" distL="0" distR="0" wp14:anchorId="2401B2F9" wp14:editId="624373EE">
            <wp:extent cx="5373763" cy="1828572"/>
            <wp:effectExtent l="0" t="0" r="0" b="635"/>
            <wp:docPr id="5485563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6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665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C92" w14:textId="2592482E" w:rsidR="00992C37" w:rsidRDefault="00000000" w:rsidP="00992C3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37847">
        <w:rPr>
          <w:noProof/>
        </w:rPr>
        <w:t>2</w:t>
      </w:r>
      <w:r>
        <w:rPr>
          <w:noProof/>
        </w:rPr>
        <w:fldChar w:fldCharType="end"/>
      </w:r>
      <w:r w:rsidR="00992C37">
        <w:t>. ábra: A beolvasás kódja</w:t>
      </w:r>
    </w:p>
    <w:p w14:paraId="68A529A1" w14:textId="773A0321" w:rsidR="00CC7701" w:rsidRPr="00992C37" w:rsidRDefault="00992C37" w:rsidP="00992C37">
      <w:r>
        <w:t>A fenti kódban látható, hogy a három megye adatait és a megfigyelések dátumait külön listákban tárolo</w:t>
      </w:r>
      <w:r w:rsidR="00F925B6">
        <w:t>m</w:t>
      </w:r>
      <w:r>
        <w:t xml:space="preserve">. Magát a beolvasást a panda csomag </w:t>
      </w:r>
      <w:proofErr w:type="spellStart"/>
      <w:r>
        <w:t>read_excel</w:t>
      </w:r>
      <w:proofErr w:type="spellEnd"/>
      <w:r>
        <w:t xml:space="preserve"> függvénye végzi, amely </w:t>
      </w:r>
      <w:r w:rsidR="00464719">
        <w:t>visszaad egy összetett adatszerkezetet</w:t>
      </w:r>
      <w:r w:rsidR="002B6DB3">
        <w:t xml:space="preserve"> (</w:t>
      </w:r>
      <w:proofErr w:type="spellStart"/>
      <w:r w:rsidR="002B6DB3">
        <w:t>DataFrame</w:t>
      </w:r>
      <w:proofErr w:type="spellEnd"/>
      <w:r w:rsidR="002B6DB3">
        <w:t>)</w:t>
      </w:r>
      <w:r w:rsidR="00464719">
        <w:t xml:space="preserve">, amely megőrzi az </w:t>
      </w:r>
      <w:proofErr w:type="spellStart"/>
      <w:r w:rsidR="00464719">
        <w:t>excel</w:t>
      </w:r>
      <w:proofErr w:type="spellEnd"/>
      <w:r w:rsidR="00464719">
        <w:t xml:space="preserve"> táblázat szerkezetét, így </w:t>
      </w:r>
      <w:r w:rsidR="00AE29FC">
        <w:t xml:space="preserve">az eredeti táblázat fejlécei szerint el lehet érni a </w:t>
      </w:r>
      <w:r w:rsidR="00797B64">
        <w:t>különböző</w:t>
      </w:r>
      <w:r w:rsidR="00AE29FC">
        <w:t xml:space="preserve"> adatsorokat.</w:t>
      </w:r>
      <w:r w:rsidR="00464719">
        <w:t xml:space="preserve"> </w:t>
      </w:r>
      <w:r w:rsidR="00CC7701">
        <w:t xml:space="preserve"> </w:t>
      </w:r>
      <w:r w:rsidR="00CC7701">
        <w:lastRenderedPageBreak/>
        <w:t xml:space="preserve">Ezekkel a listákkal már könnyen tudom elvégezni a további műveleteket a </w:t>
      </w:r>
      <w:proofErr w:type="spellStart"/>
      <w:r w:rsidR="00CC7701" w:rsidRPr="00797B64">
        <w:rPr>
          <w:i/>
          <w:iCs/>
        </w:rPr>
        <w:t>numpy</w:t>
      </w:r>
      <w:proofErr w:type="spellEnd"/>
      <w:r w:rsidR="00CC7701">
        <w:t xml:space="preserve">, </w:t>
      </w:r>
      <w:proofErr w:type="spellStart"/>
      <w:r w:rsidR="00CC7701" w:rsidRPr="00797B64">
        <w:rPr>
          <w:i/>
          <w:iCs/>
        </w:rPr>
        <w:t>pyplot</w:t>
      </w:r>
      <w:proofErr w:type="spellEnd"/>
      <w:r w:rsidR="00CC7701">
        <w:t xml:space="preserve">, </w:t>
      </w:r>
      <w:proofErr w:type="spellStart"/>
      <w:r w:rsidR="00CC7701" w:rsidRPr="00797B64">
        <w:rPr>
          <w:i/>
          <w:iCs/>
        </w:rPr>
        <w:t>statistics</w:t>
      </w:r>
      <w:proofErr w:type="spellEnd"/>
      <w:r w:rsidR="00CC7701">
        <w:t xml:space="preserve"> és </w:t>
      </w:r>
      <w:proofErr w:type="spellStart"/>
      <w:r w:rsidR="00CC7701" w:rsidRPr="00797B64">
        <w:rPr>
          <w:i/>
          <w:iCs/>
        </w:rPr>
        <w:t>statmodels</w:t>
      </w:r>
      <w:proofErr w:type="spellEnd"/>
      <w:r w:rsidR="00CC7701">
        <w:t xml:space="preserve"> nevű csomagok segítségével.</w:t>
      </w:r>
    </w:p>
    <w:p w14:paraId="1DDB2CE4" w14:textId="2445863B" w:rsidR="00134454" w:rsidRDefault="00622280" w:rsidP="00134454">
      <w:pPr>
        <w:pStyle w:val="Cmsor2"/>
        <w:numPr>
          <w:ilvl w:val="1"/>
          <w:numId w:val="1"/>
        </w:numPr>
        <w:ind w:left="0" w:firstLine="0"/>
      </w:pPr>
      <w:r>
        <w:t>A s</w:t>
      </w:r>
      <w:r w:rsidR="0031206F">
        <w:t>tatisztikai mutatók számítása</w:t>
      </w:r>
    </w:p>
    <w:p w14:paraId="56748128" w14:textId="62A41504" w:rsidR="00543CD9" w:rsidRPr="00CC7701" w:rsidRDefault="00C44DF3" w:rsidP="00361011">
      <w:pPr>
        <w:jc w:val="both"/>
      </w:pPr>
      <w:r>
        <w:t xml:space="preserve">Az 1.2-es pontban definiált statisztikai mutatókat, valamint a minimum- és maximumértékeket a </w:t>
      </w:r>
      <w:proofErr w:type="spellStart"/>
      <w:r>
        <w:t>numpy</w:t>
      </w:r>
      <w:proofErr w:type="spellEnd"/>
      <w:r>
        <w:t xml:space="preserve"> függvényei segítségével számítom ki mindegyik megyére. </w:t>
      </w:r>
      <w:r w:rsidR="00AC339A">
        <w:t xml:space="preserve">Ezek a függvények mind az </w:t>
      </w:r>
      <w:proofErr w:type="spellStart"/>
      <w:r w:rsidR="008019A2">
        <w:t>akutális</w:t>
      </w:r>
      <w:proofErr w:type="spellEnd"/>
      <w:r w:rsidR="008019A2">
        <w:t xml:space="preserve"> </w:t>
      </w:r>
      <w:r w:rsidR="00AC339A">
        <w:t xml:space="preserve">adatsort kérik be. </w:t>
      </w:r>
      <w:r w:rsidR="00577EF3">
        <w:t>Például, Hargita megye adatsorának a szórása:</w:t>
      </w:r>
      <w:r w:rsidR="001B4994">
        <w:t xml:space="preserve"> </w:t>
      </w:r>
      <w:proofErr w:type="spellStart"/>
      <w:r w:rsidR="001B4994" w:rsidRPr="001B4994">
        <w:t>np.std</w:t>
      </w:r>
      <w:proofErr w:type="spellEnd"/>
      <w:r w:rsidR="001B4994" w:rsidRPr="001B4994">
        <w:t>(</w:t>
      </w:r>
      <w:proofErr w:type="spellStart"/>
      <w:r w:rsidR="001B4994" w:rsidRPr="001B4994">
        <w:t>mnk_rata_hr</w:t>
      </w:r>
      <w:proofErr w:type="spellEnd"/>
      <w:r w:rsidR="001B4994" w:rsidRPr="001B4994">
        <w:t>)</w:t>
      </w:r>
      <w:r w:rsidR="008019A2">
        <w:t>.</w:t>
      </w:r>
    </w:p>
    <w:p w14:paraId="7086CBD6" w14:textId="2FA9532E" w:rsidR="00134454" w:rsidRDefault="00134454" w:rsidP="001F06DA">
      <w:pPr>
        <w:pStyle w:val="Listaszerbekezds"/>
        <w:numPr>
          <w:ilvl w:val="1"/>
          <w:numId w:val="1"/>
        </w:numPr>
        <w:ind w:hanging="780"/>
        <w:rPr>
          <w:rFonts w:eastAsiaTheme="majorEastAsia" w:cstheme="majorBidi"/>
          <w:color w:val="2F5496" w:themeColor="accent1" w:themeShade="BF"/>
          <w:sz w:val="28"/>
          <w:szCs w:val="26"/>
        </w:rPr>
      </w:pPr>
      <w:r w:rsidRPr="001762E8">
        <w:rPr>
          <w:rFonts w:eastAsiaTheme="majorEastAsia" w:cstheme="majorBidi"/>
          <w:color w:val="2F5496" w:themeColor="accent1" w:themeShade="BF"/>
          <w:sz w:val="28"/>
          <w:szCs w:val="26"/>
        </w:rPr>
        <w:t>Az idősorok ábrázolása</w:t>
      </w:r>
    </w:p>
    <w:p w14:paraId="75E165EF" w14:textId="1E862348" w:rsidR="001762E8" w:rsidRDefault="000E57FC" w:rsidP="001F06DA">
      <w:pPr>
        <w:pStyle w:val="Listaszerbekezds"/>
        <w:numPr>
          <w:ilvl w:val="1"/>
          <w:numId w:val="1"/>
        </w:numPr>
        <w:ind w:hanging="780"/>
        <w:rPr>
          <w:rFonts w:eastAsiaTheme="majorEastAsia" w:cstheme="majorBidi"/>
          <w:color w:val="2F5496" w:themeColor="accent1" w:themeShade="BF"/>
          <w:sz w:val="28"/>
          <w:szCs w:val="26"/>
        </w:rPr>
      </w:pPr>
      <w:r w:rsidRPr="000E57FC">
        <w:rPr>
          <w:rFonts w:eastAsiaTheme="majorEastAsia" w:cstheme="majorBidi"/>
          <w:color w:val="2F5496" w:themeColor="accent1" w:themeShade="BF"/>
          <w:sz w:val="28"/>
          <w:szCs w:val="26"/>
        </w:rPr>
        <w:t xml:space="preserve">ACF és PACF </w:t>
      </w:r>
    </w:p>
    <w:p w14:paraId="4F20771B" w14:textId="1050BF2D" w:rsidR="001E1230" w:rsidRDefault="001E1230" w:rsidP="001E1230">
      <w:pPr>
        <w:pStyle w:val="Cmsor1"/>
        <w:numPr>
          <w:ilvl w:val="0"/>
          <w:numId w:val="1"/>
        </w:numPr>
        <w:ind w:left="0" w:firstLine="0"/>
      </w:pPr>
      <w:r>
        <w:t>Az adatok kiértékelése</w:t>
      </w:r>
    </w:p>
    <w:p w14:paraId="443FD3BC" w14:textId="05574A06" w:rsidR="001E1230" w:rsidRDefault="001E1230" w:rsidP="001E1230">
      <w:pPr>
        <w:pStyle w:val="Cmsor1"/>
        <w:numPr>
          <w:ilvl w:val="0"/>
          <w:numId w:val="1"/>
        </w:numPr>
        <w:ind w:left="0" w:firstLine="0"/>
      </w:pPr>
      <w:r>
        <w:t>Előrejelzés</w:t>
      </w:r>
    </w:p>
    <w:p w14:paraId="4AE3E5A1" w14:textId="661BCF77" w:rsidR="001E1230" w:rsidRDefault="001E1230" w:rsidP="001E1230">
      <w:pPr>
        <w:pStyle w:val="Cmsor1"/>
        <w:numPr>
          <w:ilvl w:val="0"/>
          <w:numId w:val="1"/>
        </w:numPr>
        <w:ind w:left="0" w:firstLine="0"/>
      </w:pPr>
      <w:r>
        <w:t>Következtetések</w:t>
      </w:r>
    </w:p>
    <w:p w14:paraId="2A4FA5C0" w14:textId="0758AD0D" w:rsidR="001E1230" w:rsidRPr="001E1230" w:rsidRDefault="001E1230" w:rsidP="001E1230">
      <w:pPr>
        <w:pStyle w:val="Cmsor1"/>
        <w:numPr>
          <w:ilvl w:val="0"/>
          <w:numId w:val="1"/>
        </w:numPr>
        <w:ind w:left="0" w:firstLine="0"/>
      </w:pPr>
      <w:r>
        <w:t>Bibliográfia</w:t>
      </w:r>
    </w:p>
    <w:sectPr w:rsidR="001E1230" w:rsidRPr="001E12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A65E" w14:textId="77777777" w:rsidR="009B26C1" w:rsidRDefault="009B26C1" w:rsidP="009D13BB">
      <w:pPr>
        <w:spacing w:after="0" w:line="240" w:lineRule="auto"/>
      </w:pPr>
      <w:r>
        <w:separator/>
      </w:r>
    </w:p>
  </w:endnote>
  <w:endnote w:type="continuationSeparator" w:id="0">
    <w:p w14:paraId="40FA9AD8" w14:textId="77777777" w:rsidR="009B26C1" w:rsidRDefault="009B26C1" w:rsidP="009D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40910"/>
      <w:docPartObj>
        <w:docPartGallery w:val="Page Numbers (Bottom of Page)"/>
        <w:docPartUnique/>
      </w:docPartObj>
    </w:sdtPr>
    <w:sdtContent>
      <w:p w14:paraId="4D4F331D" w14:textId="71AD19DA" w:rsidR="005B5786" w:rsidRDefault="005B578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55722" w14:textId="77777777" w:rsidR="005B5786" w:rsidRDefault="005B57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D25C" w14:textId="77777777" w:rsidR="009B26C1" w:rsidRDefault="009B26C1" w:rsidP="009D13BB">
      <w:pPr>
        <w:spacing w:after="0" w:line="240" w:lineRule="auto"/>
      </w:pPr>
      <w:r>
        <w:separator/>
      </w:r>
    </w:p>
  </w:footnote>
  <w:footnote w:type="continuationSeparator" w:id="0">
    <w:p w14:paraId="675B4814" w14:textId="77777777" w:rsidR="009B26C1" w:rsidRDefault="009B26C1" w:rsidP="009D13BB">
      <w:pPr>
        <w:spacing w:after="0" w:line="240" w:lineRule="auto"/>
      </w:pPr>
      <w:r>
        <w:continuationSeparator/>
      </w:r>
    </w:p>
  </w:footnote>
  <w:footnote w:id="1">
    <w:p w14:paraId="790551ED" w14:textId="355C214E" w:rsidR="004D08A5" w:rsidRDefault="004D08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Biroul</w:t>
      </w:r>
      <w:proofErr w:type="spellEnd"/>
      <w:r>
        <w:t xml:space="preserve"> </w:t>
      </w:r>
      <w:proofErr w:type="spellStart"/>
      <w:r>
        <w:t>Internaţional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Muncii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D96A" w14:textId="27239F94" w:rsidR="009D13BB" w:rsidRDefault="009D13BB">
    <w:pPr>
      <w:pStyle w:val="lfej"/>
    </w:pPr>
    <w:r>
      <w:t>vázlat</w:t>
    </w:r>
  </w:p>
  <w:p w14:paraId="4FCFCA2C" w14:textId="77777777" w:rsidR="009D13BB" w:rsidRDefault="009D13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751"/>
    <w:multiLevelType w:val="multilevel"/>
    <w:tmpl w:val="77185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805AC4"/>
    <w:multiLevelType w:val="hybridMultilevel"/>
    <w:tmpl w:val="90E8A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19EB"/>
    <w:multiLevelType w:val="hybridMultilevel"/>
    <w:tmpl w:val="E33AD7A6"/>
    <w:lvl w:ilvl="0" w:tplc="B90EE7D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27136520">
    <w:abstractNumId w:val="0"/>
  </w:num>
  <w:num w:numId="2" w16cid:durableId="1388453234">
    <w:abstractNumId w:val="2"/>
  </w:num>
  <w:num w:numId="3" w16cid:durableId="89975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D"/>
    <w:rsid w:val="0003154C"/>
    <w:rsid w:val="00046026"/>
    <w:rsid w:val="0007265A"/>
    <w:rsid w:val="00075427"/>
    <w:rsid w:val="000770DB"/>
    <w:rsid w:val="0009213F"/>
    <w:rsid w:val="000E57FC"/>
    <w:rsid w:val="001019C1"/>
    <w:rsid w:val="00120283"/>
    <w:rsid w:val="001254AE"/>
    <w:rsid w:val="00127639"/>
    <w:rsid w:val="00134454"/>
    <w:rsid w:val="001616A4"/>
    <w:rsid w:val="00165351"/>
    <w:rsid w:val="001762E8"/>
    <w:rsid w:val="001B4994"/>
    <w:rsid w:val="001D0C7B"/>
    <w:rsid w:val="001E1230"/>
    <w:rsid w:val="001F06DA"/>
    <w:rsid w:val="00207610"/>
    <w:rsid w:val="0025109B"/>
    <w:rsid w:val="00251B68"/>
    <w:rsid w:val="0027520C"/>
    <w:rsid w:val="00295BBE"/>
    <w:rsid w:val="002B6DB3"/>
    <w:rsid w:val="002E1A6C"/>
    <w:rsid w:val="003026B1"/>
    <w:rsid w:val="0031206F"/>
    <w:rsid w:val="00316F0A"/>
    <w:rsid w:val="00361011"/>
    <w:rsid w:val="0037623B"/>
    <w:rsid w:val="00380955"/>
    <w:rsid w:val="00390153"/>
    <w:rsid w:val="003950EB"/>
    <w:rsid w:val="003C2164"/>
    <w:rsid w:val="003D1692"/>
    <w:rsid w:val="003E2ACC"/>
    <w:rsid w:val="0040001F"/>
    <w:rsid w:val="00410878"/>
    <w:rsid w:val="00421061"/>
    <w:rsid w:val="00431B49"/>
    <w:rsid w:val="00464719"/>
    <w:rsid w:val="0049075B"/>
    <w:rsid w:val="004B39BA"/>
    <w:rsid w:val="004B5D7F"/>
    <w:rsid w:val="004C69C2"/>
    <w:rsid w:val="004D08A5"/>
    <w:rsid w:val="004D5DBD"/>
    <w:rsid w:val="0050337B"/>
    <w:rsid w:val="00530491"/>
    <w:rsid w:val="00543CD9"/>
    <w:rsid w:val="005623AE"/>
    <w:rsid w:val="00566517"/>
    <w:rsid w:val="005678E0"/>
    <w:rsid w:val="00577EF3"/>
    <w:rsid w:val="00595576"/>
    <w:rsid w:val="005975E5"/>
    <w:rsid w:val="005B4B94"/>
    <w:rsid w:val="005B5786"/>
    <w:rsid w:val="005D4BE3"/>
    <w:rsid w:val="00602837"/>
    <w:rsid w:val="00604333"/>
    <w:rsid w:val="00622280"/>
    <w:rsid w:val="0062430A"/>
    <w:rsid w:val="00651EEB"/>
    <w:rsid w:val="00690D03"/>
    <w:rsid w:val="006945F0"/>
    <w:rsid w:val="006D383F"/>
    <w:rsid w:val="006F505B"/>
    <w:rsid w:val="00710F26"/>
    <w:rsid w:val="007343D1"/>
    <w:rsid w:val="00737F96"/>
    <w:rsid w:val="0074251A"/>
    <w:rsid w:val="0074456F"/>
    <w:rsid w:val="0076431D"/>
    <w:rsid w:val="0076671A"/>
    <w:rsid w:val="00797B64"/>
    <w:rsid w:val="007A00DA"/>
    <w:rsid w:val="007B249D"/>
    <w:rsid w:val="007C2402"/>
    <w:rsid w:val="007C521A"/>
    <w:rsid w:val="007F5E6D"/>
    <w:rsid w:val="008019A2"/>
    <w:rsid w:val="0084313A"/>
    <w:rsid w:val="0086449E"/>
    <w:rsid w:val="00892C77"/>
    <w:rsid w:val="008A5201"/>
    <w:rsid w:val="008D7B3F"/>
    <w:rsid w:val="008E15F4"/>
    <w:rsid w:val="008E3727"/>
    <w:rsid w:val="008F6522"/>
    <w:rsid w:val="00904BD4"/>
    <w:rsid w:val="00913944"/>
    <w:rsid w:val="00923D59"/>
    <w:rsid w:val="00932703"/>
    <w:rsid w:val="009334BC"/>
    <w:rsid w:val="00936244"/>
    <w:rsid w:val="00941CCC"/>
    <w:rsid w:val="00950BCA"/>
    <w:rsid w:val="00951387"/>
    <w:rsid w:val="009901B2"/>
    <w:rsid w:val="00992C37"/>
    <w:rsid w:val="009A40F3"/>
    <w:rsid w:val="009B26C1"/>
    <w:rsid w:val="009B4A27"/>
    <w:rsid w:val="009C2624"/>
    <w:rsid w:val="009D13BB"/>
    <w:rsid w:val="009E5533"/>
    <w:rsid w:val="00A258CB"/>
    <w:rsid w:val="00A30141"/>
    <w:rsid w:val="00A47DD7"/>
    <w:rsid w:val="00A9123E"/>
    <w:rsid w:val="00A91C33"/>
    <w:rsid w:val="00AA063F"/>
    <w:rsid w:val="00AB7031"/>
    <w:rsid w:val="00AC339A"/>
    <w:rsid w:val="00AD38DD"/>
    <w:rsid w:val="00AE29FC"/>
    <w:rsid w:val="00AE2A8F"/>
    <w:rsid w:val="00AE437A"/>
    <w:rsid w:val="00B30070"/>
    <w:rsid w:val="00B31C90"/>
    <w:rsid w:val="00B9128C"/>
    <w:rsid w:val="00B93431"/>
    <w:rsid w:val="00BB28CA"/>
    <w:rsid w:val="00BB5743"/>
    <w:rsid w:val="00BC39DA"/>
    <w:rsid w:val="00BC6A58"/>
    <w:rsid w:val="00C44DF3"/>
    <w:rsid w:val="00C71520"/>
    <w:rsid w:val="00C87E4A"/>
    <w:rsid w:val="00C9572A"/>
    <w:rsid w:val="00C95B2E"/>
    <w:rsid w:val="00CA6FDE"/>
    <w:rsid w:val="00CC2F80"/>
    <w:rsid w:val="00CC7701"/>
    <w:rsid w:val="00D11449"/>
    <w:rsid w:val="00D30419"/>
    <w:rsid w:val="00D37847"/>
    <w:rsid w:val="00D671F2"/>
    <w:rsid w:val="00D90843"/>
    <w:rsid w:val="00DC779A"/>
    <w:rsid w:val="00DF76FE"/>
    <w:rsid w:val="00E05A5E"/>
    <w:rsid w:val="00E16CA0"/>
    <w:rsid w:val="00E20DAC"/>
    <w:rsid w:val="00E32C1C"/>
    <w:rsid w:val="00E50E21"/>
    <w:rsid w:val="00E5719B"/>
    <w:rsid w:val="00E9216E"/>
    <w:rsid w:val="00E923AB"/>
    <w:rsid w:val="00EC7BAE"/>
    <w:rsid w:val="00EF2EAB"/>
    <w:rsid w:val="00F0447B"/>
    <w:rsid w:val="00F14CDE"/>
    <w:rsid w:val="00F2627C"/>
    <w:rsid w:val="00F30BD3"/>
    <w:rsid w:val="00F45B23"/>
    <w:rsid w:val="00F73579"/>
    <w:rsid w:val="00F925B6"/>
    <w:rsid w:val="00F95702"/>
    <w:rsid w:val="00FB14C8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F72D6"/>
  <w15:chartTrackingRefBased/>
  <w15:docId w15:val="{02A62348-BBCD-45E5-BDA2-A0173A66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3D1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3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3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343D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43D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lfej">
    <w:name w:val="header"/>
    <w:basedOn w:val="Norml"/>
    <w:link w:val="lfej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3B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3BB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3026B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08A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08A5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08A5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E15F4"/>
    <w:rPr>
      <w:color w:val="666666"/>
    </w:rPr>
  </w:style>
  <w:style w:type="paragraph" w:styleId="Kpalrs">
    <w:name w:val="caption"/>
    <w:basedOn w:val="Norml"/>
    <w:next w:val="Norml"/>
    <w:uiPriority w:val="35"/>
    <w:unhideWhenUsed/>
    <w:qFormat/>
    <w:rsid w:val="00892C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3728-64FE-4270-A772-62A8BF2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869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156</cp:revision>
  <dcterms:created xsi:type="dcterms:W3CDTF">2023-10-31T13:01:00Z</dcterms:created>
  <dcterms:modified xsi:type="dcterms:W3CDTF">2023-11-01T14:10:00Z</dcterms:modified>
</cp:coreProperties>
</file>