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Default="006A5EB3">
      <w:pPr>
        <w:pStyle w:val="Title"/>
        <w:spacing w:line="276" w:lineRule="auto"/>
        <w:rPr>
          <w:b/>
          <w:smallCaps/>
          <w:sz w:val="28"/>
          <w:szCs w:val="28"/>
        </w:rPr>
      </w:pPr>
    </w:p>
    <w:p w14:paraId="0F2B68A4" w14:textId="77777777" w:rsidR="006A5EB3" w:rsidRDefault="006A5EB3"/>
    <w:p w14:paraId="0F5A247D" w14:textId="77777777" w:rsidR="006A5EB3" w:rsidRDefault="006A5EB3"/>
    <w:p w14:paraId="103678C6" w14:textId="77777777" w:rsidR="006A5EB3" w:rsidRDefault="006A5EB3"/>
    <w:p w14:paraId="14C40199" w14:textId="77777777" w:rsidR="006A5EB3" w:rsidRDefault="006A5EB3"/>
    <w:p w14:paraId="3E7E10DD" w14:textId="77777777" w:rsidR="006A5EB3" w:rsidRDefault="00000000">
      <w:pPr>
        <w:jc w:val="center"/>
      </w:pPr>
      <w:r>
        <w:t>fedlap vázlat</w:t>
      </w:r>
    </w:p>
    <w:p w14:paraId="0559D6AA" w14:textId="77777777" w:rsidR="006A5EB3" w:rsidRDefault="006A5EB3"/>
    <w:p w14:paraId="628CEC35" w14:textId="77777777" w:rsidR="006A5EB3" w:rsidRDefault="006A5EB3"/>
    <w:p w14:paraId="534E8CC9" w14:textId="77777777" w:rsidR="006A5EB3" w:rsidRDefault="00000000">
      <w:pPr>
        <w:tabs>
          <w:tab w:val="left" w:pos="8010"/>
        </w:tabs>
      </w:pPr>
      <w:r>
        <w:tab/>
      </w:r>
    </w:p>
    <w:p w14:paraId="077BEB91" w14:textId="77777777" w:rsidR="006A5EB3" w:rsidRDefault="00000000">
      <w:pPr>
        <w:pStyle w:val="Title"/>
        <w:spacing w:line="276" w:lineRule="auto"/>
        <w:jc w:val="center"/>
        <w:rPr>
          <w:b/>
          <w:smallCaps/>
        </w:rPr>
      </w:pPr>
      <w:r>
        <w:rPr>
          <w:b/>
          <w:smallCaps/>
        </w:rPr>
        <w:t>A SZÉKELYFÖLDI MEGYÉK MUNKANÉLKÜLISÉGI RÁTÁINAK ELŐREJELZÉSE, ARMA ÉS A MESTERSÉGES NEURONHÁLÓ-ALAPÚ MODELLEK ALAPJÁN.</w:t>
      </w:r>
    </w:p>
    <w:p w14:paraId="3808C669" w14:textId="77777777" w:rsidR="006A5EB3" w:rsidRDefault="006A5EB3">
      <w:pPr>
        <w:rPr>
          <w:b/>
          <w:smallCaps/>
          <w:sz w:val="28"/>
          <w:szCs w:val="28"/>
        </w:rPr>
      </w:pPr>
    </w:p>
    <w:p w14:paraId="43B06E7B" w14:textId="77777777" w:rsidR="006A5EB3" w:rsidRDefault="00000000">
      <w:pPr>
        <w:rPr>
          <w:b/>
          <w:smallCaps/>
          <w:sz w:val="28"/>
          <w:szCs w:val="28"/>
        </w:rPr>
      </w:pPr>
      <w:r>
        <w:br w:type="page"/>
      </w:r>
    </w:p>
    <w:p w14:paraId="628B3155" w14:textId="77777777" w:rsidR="006A5EB3" w:rsidRDefault="00000000">
      <w:pPr>
        <w:keepNext/>
        <w:keepLines/>
        <w:pBdr>
          <w:top w:val="nil"/>
          <w:left w:val="nil"/>
          <w:bottom w:val="nil"/>
          <w:right w:val="nil"/>
          <w:between w:val="nil"/>
        </w:pBdr>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Tartalom</w:t>
      </w:r>
    </w:p>
    <w:sdt>
      <w:sdtPr>
        <w:id w:val="462005132"/>
        <w:docPartObj>
          <w:docPartGallery w:val="Table of Contents"/>
          <w:docPartUnique/>
        </w:docPartObj>
      </w:sdtPr>
      <w:sdtContent>
        <w:p w14:paraId="10F0831E" w14:textId="77777777" w:rsidR="006A5EB3" w:rsidRDefault="00000000">
          <w:pPr>
            <w:pBdr>
              <w:top w:val="nil"/>
              <w:left w:val="nil"/>
              <w:bottom w:val="nil"/>
              <w:right w:val="nil"/>
              <w:between w:val="nil"/>
            </w:pBdr>
            <w:tabs>
              <w:tab w:val="left" w:pos="567"/>
              <w:tab w:val="right" w:pos="9062"/>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Bevezetés</w:t>
          </w:r>
          <w:r>
            <w:rPr>
              <w:color w:val="000000"/>
            </w:rPr>
            <w:tab/>
            <w:t>2</w:t>
          </w:r>
          <w:r>
            <w:fldChar w:fldCharType="end"/>
          </w:r>
        </w:p>
        <w:p w14:paraId="75E2C553" w14:textId="77777777" w:rsidR="006A5EB3" w:rsidRDefault="00000000">
          <w:pPr>
            <w:pBdr>
              <w:top w:val="nil"/>
              <w:left w:val="nil"/>
              <w:bottom w:val="nil"/>
              <w:right w:val="nil"/>
              <w:between w:val="nil"/>
            </w:pBdr>
            <w:tabs>
              <w:tab w:val="left" w:pos="567"/>
              <w:tab w:val="right" w:pos="9062"/>
            </w:tabs>
            <w:spacing w:after="100"/>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Szakirodalmi áttekintés</w:t>
          </w:r>
          <w:r>
            <w:rPr>
              <w:color w:val="000000"/>
            </w:rPr>
            <w:tab/>
            <w:t>2</w:t>
          </w:r>
          <w:r>
            <w:fldChar w:fldCharType="end"/>
          </w:r>
        </w:p>
        <w:p w14:paraId="17B90089"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3znysh7">
            <w:r>
              <w:rPr>
                <w:color w:val="00000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A munkanélküliségi ráta meghatározása Romániában</w:t>
          </w:r>
          <w:r>
            <w:rPr>
              <w:color w:val="000000"/>
            </w:rPr>
            <w:tab/>
            <w:t>3</w:t>
          </w:r>
          <w:r>
            <w:fldChar w:fldCharType="end"/>
          </w:r>
        </w:p>
        <w:p w14:paraId="2F563328"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2et92p0">
            <w:r>
              <w:rPr>
                <w:color w:val="000000"/>
              </w:rPr>
              <w:t>1.3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Felhasznált statisztikai mutatók és fogalmak</w:t>
          </w:r>
          <w:r>
            <w:rPr>
              <w:color w:val="000000"/>
            </w:rPr>
            <w:tab/>
            <w:t>4</w:t>
          </w:r>
          <w:r>
            <w:fldChar w:fldCharType="end"/>
          </w:r>
        </w:p>
        <w:p w14:paraId="18F53F87" w14:textId="77777777" w:rsidR="006A5EB3" w:rsidRDefault="00000000">
          <w:pPr>
            <w:pBdr>
              <w:top w:val="nil"/>
              <w:left w:val="nil"/>
              <w:bottom w:val="nil"/>
              <w:right w:val="nil"/>
              <w:between w:val="nil"/>
            </w:pBdr>
            <w:tabs>
              <w:tab w:val="left" w:pos="567"/>
              <w:tab w:val="right" w:pos="9062"/>
            </w:tabs>
            <w:spacing w:after="100"/>
            <w:rPr>
              <w:rFonts w:ascii="Calibri" w:eastAsia="Calibri" w:hAnsi="Calibri" w:cs="Calibri"/>
              <w:color w:val="000000"/>
              <w:sz w:val="22"/>
              <w:szCs w:val="22"/>
            </w:rPr>
          </w:pPr>
          <w:hyperlink w:anchor="_heading=h.tyjcwt">
            <w:r>
              <w:rPr>
                <w:color w:val="000000"/>
              </w:rPr>
              <w:t>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Az idősorok elemzése</w:t>
          </w:r>
          <w:r>
            <w:rPr>
              <w:color w:val="000000"/>
            </w:rPr>
            <w:tab/>
            <w:t>5</w:t>
          </w:r>
          <w:r>
            <w:fldChar w:fldCharType="end"/>
          </w:r>
        </w:p>
        <w:p w14:paraId="1392E826" w14:textId="77777777" w:rsidR="006A5EB3" w:rsidRDefault="00000000">
          <w:pPr>
            <w:pBdr>
              <w:top w:val="nil"/>
              <w:left w:val="nil"/>
              <w:bottom w:val="nil"/>
              <w:right w:val="nil"/>
              <w:between w:val="nil"/>
            </w:pBdr>
            <w:tabs>
              <w:tab w:val="left" w:pos="567"/>
              <w:tab w:val="right" w:pos="9062"/>
            </w:tabs>
            <w:spacing w:after="100"/>
            <w:rPr>
              <w:rFonts w:ascii="Calibri" w:eastAsia="Calibri" w:hAnsi="Calibri" w:cs="Calibri"/>
              <w:color w:val="000000"/>
              <w:sz w:val="22"/>
              <w:szCs w:val="22"/>
            </w:rPr>
          </w:pPr>
          <w:hyperlink w:anchor="_heading=h.3dy6vkm">
            <w:r>
              <w:rPr>
                <w:color w:val="000000"/>
              </w:rPr>
              <w:t>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Előrejelzés ARMA módszerrel</w:t>
          </w:r>
          <w:r>
            <w:rPr>
              <w:color w:val="000000"/>
            </w:rPr>
            <w:tab/>
            <w:t>6</w:t>
          </w:r>
          <w:r>
            <w:fldChar w:fldCharType="end"/>
          </w:r>
        </w:p>
        <w:p w14:paraId="05E0C5F0"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1t3h5sf">
            <w:r>
              <w:rPr>
                <w:color w:val="000000"/>
              </w:rPr>
              <w:t>3.1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A stacionaritás vizsgálata</w:t>
          </w:r>
          <w:r>
            <w:rPr>
              <w:color w:val="000000"/>
            </w:rPr>
            <w:tab/>
            <w:t>6</w:t>
          </w:r>
          <w:r>
            <w:fldChar w:fldCharType="end"/>
          </w:r>
        </w:p>
        <w:p w14:paraId="1B162A48"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4d34og8">
            <w:r>
              <w:rPr>
                <w:color w:val="000000"/>
              </w:rPr>
              <w:t>3.2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Autoregresszív és mozgóátlag modellek (AR, MA, ARMA)</w:t>
          </w:r>
          <w:r>
            <w:rPr>
              <w:color w:val="000000"/>
            </w:rPr>
            <w:tab/>
            <w:t>7</w:t>
          </w:r>
          <w:r>
            <w:fldChar w:fldCharType="end"/>
          </w:r>
        </w:p>
        <w:p w14:paraId="3C60D86F"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2s8eyo1">
            <w:r>
              <w:rPr>
                <w:color w:val="000000"/>
              </w:rPr>
              <w:t>3.3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Autokorrelációs és parciális autokorrelációs tesztek</w:t>
          </w:r>
          <w:r>
            <w:rPr>
              <w:color w:val="000000"/>
            </w:rPr>
            <w:tab/>
            <w:t>9</w:t>
          </w:r>
          <w:r>
            <w:fldChar w:fldCharType="end"/>
          </w:r>
        </w:p>
        <w:p w14:paraId="6A5BF0B7"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17dp8vu">
            <w:r>
              <w:rPr>
                <w:color w:val="000000"/>
              </w:rPr>
              <w:t>3.3.1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ACF</w:t>
          </w:r>
          <w:r>
            <w:rPr>
              <w:color w:val="000000"/>
            </w:rPr>
            <w:tab/>
            <w:t>9</w:t>
          </w:r>
          <w:r>
            <w:fldChar w:fldCharType="end"/>
          </w:r>
        </w:p>
        <w:p w14:paraId="642E86E0"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3rdcrjn">
            <w:r>
              <w:rPr>
                <w:color w:val="000000"/>
              </w:rPr>
              <w:t>3.3.2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PACF</w:t>
          </w:r>
          <w:r>
            <w:rPr>
              <w:color w:val="000000"/>
            </w:rPr>
            <w:tab/>
            <w:t>9</w:t>
          </w:r>
          <w:r>
            <w:fldChar w:fldCharType="end"/>
          </w:r>
        </w:p>
        <w:p w14:paraId="67F93CE1"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26in1rg">
            <w:r>
              <w:rPr>
                <w:color w:val="000000"/>
              </w:rPr>
              <w:t>3.3 Előrejelzés pontosságának meghatározása a hibatesztek alapján</w:t>
            </w:r>
            <w:r>
              <w:rPr>
                <w:color w:val="000000"/>
              </w:rPr>
              <w:tab/>
              <w:t>11</w:t>
            </w:r>
          </w:hyperlink>
        </w:p>
        <w:p w14:paraId="5FA16717" w14:textId="77777777" w:rsidR="006A5EB3" w:rsidRDefault="00000000">
          <w:pPr>
            <w:pBdr>
              <w:top w:val="nil"/>
              <w:left w:val="nil"/>
              <w:bottom w:val="nil"/>
              <w:right w:val="nil"/>
              <w:between w:val="nil"/>
            </w:pBdr>
            <w:tabs>
              <w:tab w:val="left" w:pos="567"/>
              <w:tab w:val="right" w:pos="9062"/>
            </w:tabs>
            <w:spacing w:after="100"/>
            <w:rPr>
              <w:rFonts w:ascii="Calibri" w:eastAsia="Calibri" w:hAnsi="Calibri" w:cs="Calibri"/>
              <w:color w:val="000000"/>
              <w:sz w:val="22"/>
              <w:szCs w:val="22"/>
            </w:rPr>
          </w:pPr>
          <w:hyperlink w:anchor="_heading=h.lnxbz9">
            <w:r>
              <w:rPr>
                <w:color w:val="000000"/>
              </w:rPr>
              <w:t>4</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Előrejelzés ANN módszerekkel</w:t>
          </w:r>
          <w:r>
            <w:rPr>
              <w:color w:val="000000"/>
            </w:rPr>
            <w:tab/>
            <w:t>13</w:t>
          </w:r>
          <w:r>
            <w:fldChar w:fldCharType="end"/>
          </w:r>
        </w:p>
        <w:p w14:paraId="4DFCD803"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35nkun2">
            <w:r>
              <w:rPr>
                <w:color w:val="000000"/>
              </w:rPr>
              <w:t>4.1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MLP</w:t>
          </w:r>
          <w:r>
            <w:tab/>
          </w:r>
          <w:r>
            <w:tab/>
          </w:r>
          <w:r>
            <w:rPr>
              <w:color w:val="000000"/>
            </w:rPr>
            <w:t>13</w:t>
          </w:r>
          <w:r>
            <w:fldChar w:fldCharType="end"/>
          </w:r>
        </w:p>
        <w:p w14:paraId="77F7D230" w14:textId="77777777" w:rsidR="006A5EB3" w:rsidRDefault="00000000">
          <w:pPr>
            <w:pBdr>
              <w:top w:val="nil"/>
              <w:left w:val="nil"/>
              <w:bottom w:val="nil"/>
              <w:right w:val="nil"/>
              <w:between w:val="nil"/>
            </w:pBdr>
            <w:tabs>
              <w:tab w:val="left" w:pos="1100"/>
              <w:tab w:val="right" w:pos="9062"/>
            </w:tabs>
            <w:spacing w:after="100"/>
            <w:ind w:left="567" w:hanging="327"/>
            <w:rPr>
              <w:rFonts w:ascii="Calibri" w:eastAsia="Calibri" w:hAnsi="Calibri" w:cs="Calibri"/>
              <w:color w:val="000000"/>
              <w:sz w:val="22"/>
              <w:szCs w:val="22"/>
            </w:rPr>
          </w:pPr>
          <w:hyperlink w:anchor="_heading=h.1ksv4uv">
            <w:r>
              <w:rPr>
                <w:color w:val="000000"/>
              </w:rPr>
              <w:t>4.2 CNN</w:t>
            </w:r>
            <w:r>
              <w:rPr>
                <w:color w:val="000000"/>
              </w:rPr>
              <w:tab/>
              <w:t>13</w:t>
            </w:r>
          </w:hyperlink>
        </w:p>
        <w:p w14:paraId="7947793D" w14:textId="77777777" w:rsidR="006A5EB3" w:rsidRDefault="00000000">
          <w:pPr>
            <w:pBdr>
              <w:top w:val="nil"/>
              <w:left w:val="nil"/>
              <w:bottom w:val="nil"/>
              <w:right w:val="nil"/>
              <w:between w:val="nil"/>
            </w:pBdr>
            <w:tabs>
              <w:tab w:val="left" w:pos="567"/>
              <w:tab w:val="right" w:pos="9062"/>
            </w:tabs>
            <w:spacing w:after="100"/>
            <w:rPr>
              <w:rFonts w:ascii="Calibri" w:eastAsia="Calibri" w:hAnsi="Calibri" w:cs="Calibri"/>
              <w:color w:val="000000"/>
              <w:sz w:val="22"/>
              <w:szCs w:val="22"/>
            </w:rPr>
          </w:pPr>
          <w:hyperlink w:anchor="_heading=h.44sinio">
            <w:r>
              <w:rPr>
                <w:color w:val="000000"/>
              </w:rPr>
              <w:t>5</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Következtetések</w:t>
          </w:r>
          <w:r>
            <w:rPr>
              <w:color w:val="000000"/>
            </w:rPr>
            <w:tab/>
            <w:t>13</w:t>
          </w:r>
          <w:r>
            <w:fldChar w:fldCharType="end"/>
          </w:r>
        </w:p>
        <w:p w14:paraId="46031877" w14:textId="77777777" w:rsidR="006A5EB3" w:rsidRDefault="000000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heading=h.2jxsxqh">
            <w:r>
              <w:rPr>
                <w:color w:val="000000"/>
              </w:rPr>
              <w:t>5. Irodalomjegyzék</w:t>
            </w:r>
            <w:r>
              <w:rPr>
                <w:color w:val="000000"/>
              </w:rPr>
              <w:tab/>
              <w:t>14</w:t>
            </w:r>
          </w:hyperlink>
        </w:p>
        <w:p w14:paraId="7FCE5815" w14:textId="77777777" w:rsidR="006A5EB3" w:rsidRDefault="00000000">
          <w:r>
            <w:fldChar w:fldCharType="end"/>
          </w:r>
        </w:p>
      </w:sdtContent>
    </w:sdt>
    <w:p w14:paraId="2A160914" w14:textId="77777777" w:rsidR="006A5EB3" w:rsidRDefault="00000000">
      <w:pPr>
        <w:rPr>
          <w:b/>
          <w:smallCaps/>
          <w:sz w:val="28"/>
          <w:szCs w:val="28"/>
        </w:rPr>
      </w:pPr>
      <w:r>
        <w:br w:type="page"/>
      </w:r>
    </w:p>
    <w:p w14:paraId="2A670A07" w14:textId="77777777" w:rsidR="006A5EB3" w:rsidRDefault="00000000">
      <w:pPr>
        <w:pStyle w:val="Heading1"/>
        <w:numPr>
          <w:ilvl w:val="0"/>
          <w:numId w:val="3"/>
        </w:numPr>
        <w:ind w:left="0" w:firstLine="0"/>
      </w:pPr>
      <w:bookmarkStart w:id="0" w:name="_heading=h.30j0zll" w:colFirst="0" w:colLast="0"/>
      <w:bookmarkEnd w:id="0"/>
      <w:r>
        <w:lastRenderedPageBreak/>
        <w:t>Bevezetés</w:t>
      </w:r>
    </w:p>
    <w:p w14:paraId="4DF86624" w14:textId="77777777" w:rsidR="006A5EB3" w:rsidRDefault="00000000">
      <w:pPr>
        <w:jc w:val="both"/>
      </w:pPr>
      <w:r>
        <w:t xml:space="preserve">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 </w:t>
      </w:r>
    </w:p>
    <w:p w14:paraId="4D734460" w14:textId="77777777" w:rsidR="006A5EB3" w:rsidRDefault="00000000">
      <w:pPr>
        <w:jc w:val="both"/>
      </w:pPr>
      <w:r>
        <w:rPr>
          <w:highlight w:val="yellow"/>
        </w:rPr>
        <w:t>IDE MAJD kellene pár cikk a romániai munkanélküliségről, hogy miért aktuális téma…</w:t>
      </w:r>
    </w:p>
    <w:p w14:paraId="5A12F3C9" w14:textId="77777777" w:rsidR="006A5EB3" w:rsidRDefault="00000000">
      <w:pPr>
        <w:jc w:val="both"/>
      </w:pPr>
      <w:r>
        <w:t>Ebben az államvizsga dolgozatban Székelyföld regionális munkanélküliségi rátáival foglalkozom. Hargita, Kovászna és Maros megye havi munkanélküliségi rátáit vizsgálom 2010 január és 2022 szeptember között. Az adatokat Románia országos statisztikai hivatalának (Institutul Național de Statistică) hivatalos oldaláról töltöttem le. Célom, hogy statisztikai elemzést készítsek ezekről az idősorokról, valamint megvizsgáljam, hogy ezen idősorok esetében, tíz hónap távlatában az ARMA (autoregresszív mozgóátlag), vagy a mesterséges neurális hálózatokon (ANN) alapuló modellek: CNN (Convolutional Neural Network), MLP (Multilayer Perceptron) nyújtanak pontosabb előrejelzéseket. A „teszt periódusnak” a 2022 október és 2023 július közötti adatokat használtam, ezeket jósoltattam meg a különböző modellekkel és hasonlítottam össze.</w:t>
      </w:r>
    </w:p>
    <w:p w14:paraId="241F48DA" w14:textId="77777777" w:rsidR="006A5EB3" w:rsidRDefault="00000000">
      <w:pPr>
        <w:jc w:val="both"/>
      </w:pPr>
      <w:r>
        <w:t xml:space="preserve">A kutatás során egy Python programot készítettem az adatok beolvasásához, feldolgozásához és az eredmények megjelenítéséhez, ehhez egy Django keretrendszerben írt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5F3A9D13" w14:textId="77777777" w:rsidR="006A5EB3" w:rsidRDefault="00000000">
      <w:pPr>
        <w:pStyle w:val="Heading1"/>
        <w:numPr>
          <w:ilvl w:val="1"/>
          <w:numId w:val="3"/>
        </w:numPr>
        <w:ind w:left="426"/>
        <w:rPr>
          <w:sz w:val="28"/>
          <w:szCs w:val="28"/>
        </w:rPr>
      </w:pPr>
      <w:bookmarkStart w:id="1" w:name="_heading=h.1fob9te" w:colFirst="0" w:colLast="0"/>
      <w:bookmarkEnd w:id="1"/>
      <w:r>
        <w:rPr>
          <w:sz w:val="28"/>
          <w:szCs w:val="28"/>
        </w:rPr>
        <w:t xml:space="preserve"> Szakirodalmi áttekintés</w:t>
      </w:r>
    </w:p>
    <w:p w14:paraId="66A8BF7C" w14:textId="77777777" w:rsidR="006A5EB3" w:rsidRDefault="00000000">
      <w:pPr>
        <w:rPr>
          <w:highlight w:val="red"/>
        </w:rPr>
      </w:pPr>
      <w:r>
        <w:t>Madaras (2018) 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77777777" w:rsidR="006A5EB3" w:rsidRDefault="00000000">
      <w:pPr>
        <w:jc w:val="both"/>
      </w:pPr>
      <w:r>
        <w:t xml:space="preserve">Davidescu et al.  (2021) Románia országos munkanélküliségi rátáival végeztek kutatást, SARIMA, SETAR, Holt-Winters, ETS, és NNAR modelleket hasonlítottak össze, amelyek közül több szempont alapján is az NNAR (neuronhálós autoregresszív) modell mutatkozott a legjobbnak. </w:t>
      </w:r>
      <w:r>
        <w:rPr>
          <w:highlight w:val="red"/>
        </w:rPr>
        <w:br/>
      </w:r>
      <w:r>
        <w:lastRenderedPageBreak/>
        <w:t>Madaras (2014) ARIMA (1, 1, 4) típusú autoregressziós modellel előrejelzést készített és megjósolta a munkanélküliek számának növekedését 2013 július és 2014 február között Romániában.</w:t>
      </w:r>
    </w:p>
    <w:p w14:paraId="556DE996" w14:textId="77777777" w:rsidR="006A5EB3" w:rsidRDefault="00000000">
      <w:pPr>
        <w:jc w:val="both"/>
      </w:pPr>
      <w:r>
        <w:t>Mulaudzi &amp; Ajoodha (2020) Dél-Afrika országos munkanélküliségi rátáinak előrejelzéséhez használtak többféle modellt (ARIMA, ENet, LASSO, LSTM, RNN, Holt-Winters, stb.), amelyekből az MLP (multi-layer perceptron) modell három rejtett réteggel pontosabb előrejelzést adott, mint a többi.</w:t>
      </w:r>
    </w:p>
    <w:p w14:paraId="74A70085" w14:textId="77777777" w:rsidR="006A5EB3" w:rsidRDefault="00000000">
      <w:r>
        <w:t>Tufaner &amp; Sözen (2021) Törökország esetében hasonlítottak össze egy MLP két rejtett rétegű, és ARIMA (3, 1, 2) modellt, itt szintén az MLP volt a jobb.</w:t>
      </w:r>
    </w:p>
    <w:p w14:paraId="45CBF723" w14:textId="77777777" w:rsidR="006A5EB3" w:rsidRDefault="00000000">
      <w:pPr>
        <w:pStyle w:val="Heading2"/>
        <w:numPr>
          <w:ilvl w:val="1"/>
          <w:numId w:val="3"/>
        </w:numPr>
        <w:ind w:left="0" w:firstLine="0"/>
      </w:pPr>
      <w:bookmarkStart w:id="2" w:name="_heading=h.3znysh7" w:colFirst="0" w:colLast="0"/>
      <w:bookmarkEnd w:id="2"/>
      <w:r>
        <w:t>A munkanélküliségi ráta meghatározása Romániában</w:t>
      </w:r>
    </w:p>
    <w:p w14:paraId="3CD4C744" w14:textId="77777777" w:rsidR="006A5EB3" w:rsidRDefault="00000000">
      <w:pPr>
        <w:pBdr>
          <w:top w:val="nil"/>
          <w:left w:val="nil"/>
          <w:bottom w:val="nil"/>
          <w:right w:val="nil"/>
          <w:between w:val="nil"/>
        </w:pBdr>
        <w:jc w:val="both"/>
        <w:rPr>
          <w:color w:val="000000"/>
        </w:rPr>
      </w:pPr>
      <w:r>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77777777" w:rsidR="006A5EB3" w:rsidRDefault="00000000">
      <w:pPr>
        <w:jc w:val="both"/>
      </w:pPr>
      <w:r>
        <w:t xml:space="preserve">A </w:t>
      </w:r>
      <w:r>
        <w:rPr>
          <w:b/>
        </w:rPr>
        <w:t>munkanélküliek</w:t>
      </w:r>
      <w:r>
        <w:t xml:space="preserve"> a nemzetközi meghatározás szerint (BIM</w:t>
      </w:r>
      <w:r>
        <w:rPr>
          <w:vertAlign w:val="superscript"/>
        </w:rPr>
        <w:footnoteReference w:id="1"/>
      </w:r>
      <w:r>
        <w:t>) szerint azok a 15-74 év közötti személyek, akik egyidejűleg teljesítik a következő három feltételt:</w:t>
      </w:r>
    </w:p>
    <w:p w14:paraId="30F4A74C" w14:textId="77777777" w:rsidR="006A5EB3" w:rsidRDefault="00000000">
      <w:pPr>
        <w:numPr>
          <w:ilvl w:val="0"/>
          <w:numId w:val="1"/>
        </w:numPr>
        <w:pBdr>
          <w:top w:val="nil"/>
          <w:left w:val="nil"/>
          <w:bottom w:val="nil"/>
          <w:right w:val="nil"/>
          <w:between w:val="nil"/>
        </w:pBdr>
        <w:spacing w:after="0"/>
        <w:jc w:val="both"/>
      </w:pPr>
      <w:r>
        <w:rPr>
          <w:color w:val="000000"/>
        </w:rPr>
        <w:t>munkanélküliek (a mérés pillanatában nincs bejelentett munkahelyük)</w:t>
      </w:r>
    </w:p>
    <w:p w14:paraId="34C2EC1F" w14:textId="77777777" w:rsidR="006A5EB3" w:rsidRDefault="00000000">
      <w:pPr>
        <w:numPr>
          <w:ilvl w:val="0"/>
          <w:numId w:val="1"/>
        </w:numPr>
        <w:pBdr>
          <w:top w:val="nil"/>
          <w:left w:val="nil"/>
          <w:bottom w:val="nil"/>
          <w:right w:val="nil"/>
          <w:between w:val="nil"/>
        </w:pBdr>
        <w:spacing w:after="0"/>
        <w:jc w:val="both"/>
      </w:pPr>
      <w:r>
        <w:rPr>
          <w:color w:val="000000"/>
        </w:rPr>
        <w:t>a következő két héten belül munkába tudnának állni</w:t>
      </w:r>
    </w:p>
    <w:p w14:paraId="34E92F1D" w14:textId="77777777" w:rsidR="006A5EB3" w:rsidRDefault="00000000">
      <w:pPr>
        <w:numPr>
          <w:ilvl w:val="0"/>
          <w:numId w:val="1"/>
        </w:numPr>
        <w:pBdr>
          <w:top w:val="nil"/>
          <w:left w:val="nil"/>
          <w:bottom w:val="nil"/>
          <w:right w:val="nil"/>
          <w:between w:val="nil"/>
        </w:pBdr>
        <w:jc w:val="both"/>
      </w:pPr>
      <w:r>
        <w:rPr>
          <w:color w:val="000000"/>
        </w:rPr>
        <w:t>az elmúlt négy hétben aktívan munkát kerestek.</w:t>
      </w:r>
    </w:p>
    <w:p w14:paraId="70C13ACE" w14:textId="77777777" w:rsidR="006A5EB3" w:rsidRDefault="00000000">
      <w:pPr>
        <w:jc w:val="both"/>
      </w:pPr>
      <w:r>
        <w:t xml:space="preserve">A </w:t>
      </w:r>
      <w:r>
        <w:rPr>
          <w:b/>
        </w:rPr>
        <w:t>munkanélküliségi ráta</w:t>
      </w:r>
      <w:r>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Default="00000000">
      <w:pPr>
        <w:pBdr>
          <w:top w:val="nil"/>
          <w:left w:val="nil"/>
          <w:bottom w:val="nil"/>
          <w:right w:val="nil"/>
          <w:between w:val="nil"/>
        </w:pBdr>
        <w:spacing w:after="0"/>
        <w:jc w:val="both"/>
        <w:rPr>
          <w:color w:val="000000"/>
        </w:rPr>
      </w:pPr>
      <w:r>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Pr>
          <w:color w:val="000000"/>
        </w:rPr>
        <w:tab/>
      </w:r>
      <w:r>
        <w:rPr>
          <w:color w:val="000000"/>
        </w:rPr>
        <w:tab/>
      </w:r>
      <w:r>
        <w:rPr>
          <w:color w:val="000000"/>
        </w:rPr>
        <w:tab/>
      </w:r>
      <w:r>
        <w:rPr>
          <w:color w:val="000000"/>
        </w:rPr>
        <w:tab/>
        <w:t xml:space="preserve">       (INSSE, 2016) </w:t>
      </w:r>
    </w:p>
    <w:p w14:paraId="73A392BD" w14:textId="77777777" w:rsidR="006A5EB3" w:rsidRDefault="00000000">
      <w:pPr>
        <w:pBdr>
          <w:top w:val="nil"/>
          <w:left w:val="nil"/>
          <w:bottom w:val="nil"/>
          <w:right w:val="nil"/>
          <w:between w:val="nil"/>
        </w:pBdr>
        <w:jc w:val="both"/>
        <w:rPr>
          <w:color w:val="000000"/>
        </w:rPr>
      </w:pPr>
      <w:r>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Default="00000000">
      <w:pPr>
        <w:pBdr>
          <w:top w:val="nil"/>
          <w:left w:val="nil"/>
          <w:bottom w:val="nil"/>
          <w:right w:val="nil"/>
          <w:between w:val="nil"/>
        </w:pBdr>
        <w:jc w:val="both"/>
        <w:rPr>
          <w:color w:val="000000"/>
        </w:rPr>
      </w:pPr>
      <w:r>
        <w:rPr>
          <w:color w:val="000000"/>
        </w:rPr>
        <w:t>A következő fejezetekben ismertetem a statisztikai mutatókat, modelleket, amelyeket felhasználtam a dolgozat során.</w:t>
      </w:r>
    </w:p>
    <w:p w14:paraId="14B75CF0" w14:textId="77777777" w:rsidR="006A5EB3" w:rsidRDefault="00000000">
      <w:pPr>
        <w:pStyle w:val="Heading2"/>
        <w:numPr>
          <w:ilvl w:val="1"/>
          <w:numId w:val="3"/>
        </w:numPr>
      </w:pPr>
      <w:bookmarkStart w:id="3" w:name="_heading=h.2et92p0" w:colFirst="0" w:colLast="0"/>
      <w:bookmarkEnd w:id="3"/>
      <w:r>
        <w:lastRenderedPageBreak/>
        <w:t>Felhasznált statisztikai mutatók és fogalmak</w:t>
      </w:r>
    </w:p>
    <w:p w14:paraId="59752546" w14:textId="77777777" w:rsidR="006A5EB3" w:rsidRDefault="00000000">
      <w:pPr>
        <w:tabs>
          <w:tab w:val="left" w:pos="1494"/>
        </w:tabs>
        <w:spacing w:after="0"/>
        <w:ind w:left="360"/>
        <w:jc w:val="both"/>
      </w:pPr>
      <w:r>
        <w:rPr>
          <w:b/>
        </w:rPr>
        <w:t>Átlag</w:t>
      </w:r>
      <w:r>
        <w:t>: Az egyik legismertebb statisztikai mutató. Jelöljünk n megfigyelést x</w:t>
      </w:r>
      <w:r>
        <w:rPr>
          <w:vertAlign w:val="subscript"/>
        </w:rPr>
        <w:t>1</w:t>
      </w:r>
      <w:r>
        <w:t>, x</w:t>
      </w:r>
      <w:r>
        <w:rPr>
          <w:vertAlign w:val="subscript"/>
        </w:rPr>
        <w:t>2</w:t>
      </w:r>
      <w:r>
        <w:t>, ..., x</w:t>
      </w:r>
      <w:r>
        <w:rPr>
          <w:vertAlign w:val="subscript"/>
        </w:rPr>
        <w:t>n</w:t>
      </w:r>
      <w:r>
        <w:t xml:space="preserve"> -nel. Ekkor az átlaguk:</w:t>
      </w:r>
    </w:p>
    <w:p w14:paraId="7E23D035" w14:textId="77777777" w:rsidR="006A5EB3" w:rsidRDefault="00000000">
      <w:pPr>
        <w:jc w:val="center"/>
        <w:rPr>
          <w:rFonts w:ascii="Cambria Math" w:eastAsia="Cambria Math" w:hAnsi="Cambria Math" w:cs="Cambria Math"/>
        </w:rPr>
      </w:pPr>
      <m:oMathPara>
        <m:oMath>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3EF78308" w14:textId="77777777" w:rsidR="006A5EB3" w:rsidRDefault="00000000">
      <w:pPr>
        <w:tabs>
          <w:tab w:val="left" w:pos="1494"/>
        </w:tabs>
        <w:ind w:left="360"/>
        <w:jc w:val="both"/>
      </w:pPr>
      <w:r>
        <w:rPr>
          <w:b/>
        </w:rPr>
        <w:t>Szórás</w:t>
      </w:r>
      <w:r>
        <w:t>: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386A9476" w14:textId="77777777" w:rsidR="006A5EB3"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r>
                <w:rPr>
                  <w:rFonts w:ascii="Cambria Math" w:eastAsia="Cambria Math" w:hAnsi="Cambria Math" w:cs="Cambria Math"/>
                </w:rPr>
                <m:t xml:space="preserve"> </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e>
          </m:rad>
        </m:oMath>
      </m:oMathPara>
    </w:p>
    <w:p w14:paraId="6BCE4270" w14:textId="77777777" w:rsidR="006A5EB3" w:rsidRDefault="00000000">
      <w:pPr>
        <w:tabs>
          <w:tab w:val="left" w:pos="1494"/>
        </w:tabs>
        <w:spacing w:after="0"/>
        <w:ind w:left="360"/>
        <w:jc w:val="both"/>
        <w:rPr>
          <w:b/>
        </w:rPr>
      </w:pPr>
      <w:r>
        <w:rPr>
          <w:b/>
        </w:rPr>
        <w:t>A variancia (szórásnégyzet):</w:t>
      </w:r>
    </w:p>
    <w:p w14:paraId="62D7BF24" w14:textId="77777777" w:rsidR="006A5EB3" w:rsidRDefault="00000000">
      <w:pPr>
        <w:tabs>
          <w:tab w:val="left" w:pos="1494"/>
        </w:tabs>
        <w:ind w:left="360"/>
        <w:jc w:val="both"/>
      </w:pPr>
      <w:r>
        <w:t>Egy másik fontos szóródási mutató a variancia, ami egyszerűen a szórás négyzete, vagyis az átlagtól való</w:t>
      </w:r>
      <w:r>
        <w:rPr>
          <w:b/>
        </w:rPr>
        <w:t xml:space="preserve"> </w:t>
      </w:r>
      <w:r>
        <w:t xml:space="preserve">eltérések négyzeteinek az átlaga: </w:t>
      </w:r>
    </w:p>
    <w:p w14:paraId="09CCBD0B" w14:textId="77777777" w:rsidR="006A5EB3"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r>
            <w:rPr>
              <w:rFonts w:ascii="Cambria Math" w:eastAsia="Cambria Math" w:hAnsi="Cambria Math" w:cs="Cambria Math"/>
            </w:rPr>
            <m:t xml:space="preserve"> </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oMath>
      </m:oMathPara>
    </w:p>
    <w:p w14:paraId="0E7D173B" w14:textId="77777777" w:rsidR="006A5EB3" w:rsidRDefault="00000000">
      <w:pPr>
        <w:tabs>
          <w:tab w:val="left" w:pos="1494"/>
        </w:tabs>
        <w:ind w:left="360"/>
        <w:jc w:val="both"/>
      </w:pPr>
      <w:bookmarkStart w:id="4" w:name="_heading=h.gjdgxs" w:colFirst="0" w:colLast="0"/>
      <w:bookmarkEnd w:id="4"/>
      <w:r>
        <w:rPr>
          <w:b/>
        </w:rPr>
        <w:t xml:space="preserve">Medián: </w:t>
      </w:r>
      <w:r>
        <w:t>Jelöljük x</w:t>
      </w:r>
      <w:r>
        <w:rPr>
          <w:vertAlign w:val="subscript"/>
        </w:rPr>
        <w:t>1</w:t>
      </w:r>
      <w:r>
        <w:t>, x</w:t>
      </w:r>
      <w:r>
        <w:rPr>
          <w:vertAlign w:val="subscript"/>
        </w:rPr>
        <w:t>2</w:t>
      </w:r>
      <w:r>
        <w:t>, ..., x</w:t>
      </w:r>
      <w:r>
        <w:rPr>
          <w:vertAlign w:val="subscript"/>
        </w:rPr>
        <w:t>n</w:t>
      </w:r>
      <w:r>
        <w:t xml:space="preserve"> –nel a megfigyeléseket, és jelöljük x</w:t>
      </w:r>
      <w:r>
        <w:rPr>
          <w:vertAlign w:val="subscript"/>
        </w:rPr>
        <w:t>(1),</w:t>
      </w:r>
      <w:r>
        <w:t xml:space="preserve"> x</w:t>
      </w:r>
      <w:r>
        <w:rPr>
          <w:vertAlign w:val="subscript"/>
        </w:rPr>
        <w:t>(2),</w:t>
      </w:r>
      <w:r>
        <w:t xml:space="preserve"> ... , x</w:t>
      </w:r>
      <w:r>
        <w:rPr>
          <w:vertAlign w:val="subscript"/>
        </w:rPr>
        <w:t>(n)</w:t>
      </w:r>
      <w:r>
        <w:t xml:space="preserve"> –nel ugyanezeket a megfigyeléseket növekvő sorrendben. Tehát, x</w:t>
      </w:r>
      <w:r>
        <w:rPr>
          <w:vertAlign w:val="subscript"/>
        </w:rPr>
        <w:t>(1)</w:t>
      </w:r>
      <w:r>
        <w:t xml:space="preserve"> a legkisebb, x</w:t>
      </w:r>
      <w:r>
        <w:rPr>
          <w:vertAlign w:val="subscript"/>
        </w:rPr>
        <w:t>(2)</w:t>
      </w:r>
      <w:r>
        <w:t xml:space="preserve"> a következő, ... és x</w:t>
      </w:r>
      <w:r>
        <w:rPr>
          <w:vertAlign w:val="subscript"/>
        </w:rPr>
        <w:t>(n)</w:t>
      </w:r>
      <w:r>
        <w:t xml:space="preserve"> legnagyobb:</w:t>
      </w:r>
    </w:p>
    <w:p w14:paraId="6FF0E9CE" w14:textId="77777777" w:rsidR="006A5EB3" w:rsidRDefault="00000000">
      <w:pPr>
        <w:tabs>
          <w:tab w:val="left" w:pos="1494"/>
        </w:tabs>
        <w:ind w:left="360"/>
        <w:jc w:val="center"/>
        <w:rPr>
          <w:vertAlign w:val="subscript"/>
        </w:rPr>
      </w:pPr>
      <w:r>
        <w:t>x</w:t>
      </w:r>
      <w:r>
        <w:rPr>
          <w:vertAlign w:val="subscript"/>
        </w:rPr>
        <w:t xml:space="preserve">(1)  </w:t>
      </w:r>
      <w:sdt>
        <w:sdtPr>
          <w:tag w:val="goog_rdk_0"/>
          <w:id w:val="1701434892"/>
        </w:sdtPr>
        <w:sdtContent>
          <w:r>
            <w:rPr>
              <w:rFonts w:ascii="Gungsuh" w:eastAsia="Gungsuh" w:hAnsi="Gungsuh" w:cs="Gungsuh"/>
            </w:rPr>
            <w:t>≤  x</w:t>
          </w:r>
        </w:sdtContent>
      </w:sdt>
      <w:r>
        <w:rPr>
          <w:vertAlign w:val="subscript"/>
        </w:rPr>
        <w:t xml:space="preserve">(2) </w:t>
      </w:r>
      <w:sdt>
        <w:sdtPr>
          <w:tag w:val="goog_rdk_1"/>
          <w:id w:val="-79755676"/>
        </w:sdtPr>
        <w:sdtContent>
          <w:r>
            <w:rPr>
              <w:rFonts w:ascii="Gungsuh" w:eastAsia="Gungsuh" w:hAnsi="Gungsuh" w:cs="Gungsuh"/>
            </w:rPr>
            <w:t xml:space="preserve"> ≤  </w:t>
          </w:r>
        </w:sdtContent>
      </w:sdt>
      <w:r>
        <w:rPr>
          <w:rFonts w:ascii="Cambria Math" w:eastAsia="Cambria Math" w:hAnsi="Cambria Math" w:cs="Cambria Math"/>
        </w:rPr>
        <w:t>⋯</w:t>
      </w:r>
      <w:sdt>
        <w:sdtPr>
          <w:tag w:val="goog_rdk_2"/>
          <w:id w:val="1646859580"/>
        </w:sdtPr>
        <w:sdtContent>
          <w:r>
            <w:rPr>
              <w:rFonts w:ascii="Gungsuh" w:eastAsia="Gungsuh" w:hAnsi="Gungsuh" w:cs="Gungsuh"/>
            </w:rPr>
            <w:t xml:space="preserve">  ≤  x</w:t>
          </w:r>
        </w:sdtContent>
      </w:sdt>
      <w:r>
        <w:rPr>
          <w:vertAlign w:val="subscript"/>
        </w:rPr>
        <w:t>(n)</w:t>
      </w:r>
    </w:p>
    <w:p w14:paraId="08466698" w14:textId="77777777" w:rsidR="006A5EB3" w:rsidRDefault="00000000">
      <w:pPr>
        <w:tabs>
          <w:tab w:val="left" w:pos="1494"/>
        </w:tabs>
        <w:ind w:left="360"/>
        <w:jc w:val="both"/>
      </w:pPr>
      <w:r>
        <w:t>A medián a sorrendbe állított x</w:t>
      </w:r>
      <w:r>
        <w:rPr>
          <w:vertAlign w:val="subscript"/>
        </w:rPr>
        <w:t>1</w:t>
      </w:r>
      <w:r>
        <w:t>, x</w:t>
      </w:r>
      <w:r>
        <w:rPr>
          <w:vertAlign w:val="subscript"/>
        </w:rPr>
        <w:t>2</w:t>
      </w:r>
      <w:r>
        <w:t>, ..., x</w:t>
      </w:r>
      <w:r>
        <w:rPr>
          <w:vertAlign w:val="subscript"/>
        </w:rPr>
        <w:t>n</w:t>
      </w:r>
      <w:r>
        <w:t xml:space="preserve"> megfigyelések középső megfigyelése. Ha n páratlan, akkor egészen egyszerű; a medián a (n + 1) / 2 sorrendű megfigyelés.</w:t>
      </w:r>
    </w:p>
    <w:p w14:paraId="0FDA9848" w14:textId="77777777" w:rsidR="006A5EB3" w:rsidRDefault="00000000">
      <w:pPr>
        <w:jc w:val="center"/>
        <w:rPr>
          <w:rFonts w:ascii="Cambria Math" w:eastAsia="Cambria Math" w:hAnsi="Cambria Math" w:cs="Cambria Math"/>
        </w:rPr>
      </w:pPr>
      <w:r>
        <w:t>Ha n páros, akkor 2 középső megfigyelés van, n/2 és (n / 2) + 1, tehát a medián:</w:t>
      </w:r>
      <w:r>
        <w:rPr>
          <w:rFonts w:ascii="Cambria Math" w:eastAsia="Cambria Math" w:hAnsi="Cambria Math" w:cs="Cambria Math"/>
          <w:i/>
        </w:rPr>
        <w:br/>
      </w:r>
      <m:oMathPara>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eastAsia="Cambria Math" w:hAnsi="Cambria Math" w:cs="Cambria Math"/>
                        </w:rPr>
                        <m:t>+1</m:t>
                      </m:r>
                    </m:e>
                  </m:d>
                </m:sub>
              </m:sSub>
            </m:num>
            <m:den>
              <m:r>
                <w:rPr>
                  <w:rFonts w:ascii="Cambria Math" w:eastAsia="Cambria Math" w:hAnsi="Cambria Math" w:cs="Cambria Math"/>
                </w:rPr>
                <m:t>2</m:t>
              </m:r>
            </m:den>
          </m:f>
        </m:oMath>
      </m:oMathPara>
    </w:p>
    <w:p w14:paraId="5010CB6F" w14:textId="77777777" w:rsidR="006A5EB3" w:rsidRDefault="00000000">
      <w:pPr>
        <w:ind w:left="360"/>
        <w:jc w:val="right"/>
      </w:pPr>
      <w:r>
        <w:t>(Sándor &amp; Tánczos, 2019)</w:t>
      </w:r>
    </w:p>
    <w:p w14:paraId="2F5953E4" w14:textId="77777777" w:rsidR="006A5EB3" w:rsidRDefault="00000000">
      <w:pPr>
        <w:pStyle w:val="Heading1"/>
        <w:numPr>
          <w:ilvl w:val="0"/>
          <w:numId w:val="6"/>
        </w:numPr>
        <w:ind w:left="0" w:firstLine="0"/>
      </w:pPr>
      <w:bookmarkStart w:id="5" w:name="_heading=h.tyjcwt" w:colFirst="0" w:colLast="0"/>
      <w:bookmarkEnd w:id="5"/>
      <w:r>
        <w:lastRenderedPageBreak/>
        <w:t>Az idősorok elemzése</w:t>
      </w:r>
    </w:p>
    <w:p w14:paraId="10F42141" w14:textId="77777777" w:rsidR="006A5EB3" w:rsidRDefault="00000000">
      <w:pPr>
        <w:jc w:val="both"/>
      </w:pPr>
      <w:r>
        <w:t xml:space="preserve">A webalkalmazásomba feltöltöttem a 2010 január – 2022 szeptember közötti munkanélküliségi ráta adatsorokat a három megyére. A feldolgozás után a program a következő eredményeket jelenítette meg: </w:t>
      </w:r>
    </w:p>
    <w:p w14:paraId="00AC82C6" w14:textId="77777777" w:rsidR="006A5EB3" w:rsidRDefault="00000000">
      <w:pPr>
        <w:keepNext/>
        <w:jc w:val="center"/>
      </w:pPr>
      <w:r>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 regionális munkanélküliségi ráták grafikonja</w:t>
      </w:r>
    </w:p>
    <w:p w14:paraId="249121C2" w14:textId="77777777" w:rsidR="006A5EB3" w:rsidRDefault="00000000">
      <w:pPr>
        <w:jc w:val="both"/>
      </w:pPr>
      <w:r>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6EC8DDA0" w14:textId="77777777" w:rsidR="006A5EB3" w:rsidRDefault="00000000">
      <w:pPr>
        <w:jc w:val="both"/>
      </w:pPr>
      <w:r>
        <w:t>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(Georgeta, 2015)</w:t>
      </w:r>
    </w:p>
    <w:p w14:paraId="2AEB2E46" w14:textId="77777777" w:rsidR="006A5EB3" w:rsidRDefault="00000000">
      <w:pPr>
        <w:jc w:val="both"/>
      </w:pPr>
      <w:r>
        <w:lastRenderedPageBreak/>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Hargita megyében 2021 novemberében 3.2%, míg Kovászna megyében 2019 májusában 3% volt. Sajnos a koronavírus járvány miatt </w:t>
      </w:r>
    </w:p>
    <w:p w14:paraId="1B5B03AE" w14:textId="77777777" w:rsidR="006A5EB3" w:rsidRDefault="00000000">
      <w:pPr>
        <w:jc w:val="both"/>
      </w:pPr>
      <w:r>
        <w:t>A következő táblázat szemlélteti a három idősor átlagát, szórását, szórásnégyzetét (variancia), mediánját, minimum és maximum érétkeit.</w:t>
      </w:r>
    </w:p>
    <w:p w14:paraId="4B646716" w14:textId="1BAEEE88" w:rsidR="00EB6449" w:rsidRDefault="00000000" w:rsidP="00EB6449">
      <w:pPr>
        <w:keepNext/>
        <w:jc w:val="center"/>
      </w:pPr>
      <w:r>
        <w:rPr>
          <w:noProof/>
        </w:rPr>
        <w:drawing>
          <wp:inline distT="0" distB="0" distL="0" distR="0" wp14:anchorId="6A6E9937" wp14:editId="2FF8D2CF">
            <wp:extent cx="5729536" cy="1528154"/>
            <wp:effectExtent l="0" t="0" r="0" b="0"/>
            <wp:docPr id="21452479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681" r="539" b="1125"/>
                    <a:stretch>
                      <a:fillRect/>
                    </a:stretch>
                  </pic:blipFill>
                  <pic:spPr>
                    <a:xfrm>
                      <a:off x="0" y="0"/>
                      <a:ext cx="5729536" cy="1528154"/>
                    </a:xfrm>
                    <a:prstGeom prst="rect">
                      <a:avLst/>
                    </a:prstGeom>
                    <a:ln/>
                  </pic:spPr>
                </pic:pic>
              </a:graphicData>
            </a:graphic>
          </wp:inline>
        </w:drawing>
      </w:r>
    </w:p>
    <w:p w14:paraId="2563F70C"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Az idősorok statisztikai mutatói</w:t>
      </w:r>
    </w:p>
    <w:p w14:paraId="07094BFF" w14:textId="77777777" w:rsidR="006A5EB3" w:rsidRDefault="00000000">
      <w:pPr>
        <w:jc w:val="both"/>
      </w:pPr>
      <w:r>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 modelleket, amelyek a legjobban illeszkednek a megyék idősoraira, ezekkel pedig előrejelzéseket készítek.</w:t>
      </w:r>
    </w:p>
    <w:p w14:paraId="0AB537CD" w14:textId="77777777" w:rsidR="006A5EB3" w:rsidRDefault="00000000">
      <w:pPr>
        <w:pStyle w:val="Heading1"/>
        <w:numPr>
          <w:ilvl w:val="0"/>
          <w:numId w:val="6"/>
        </w:numPr>
        <w:ind w:left="0" w:firstLine="0"/>
      </w:pPr>
      <w:bookmarkStart w:id="6" w:name="_heading=h.3dy6vkm" w:colFirst="0" w:colLast="0"/>
      <w:bookmarkEnd w:id="6"/>
      <w:r>
        <w:t>Előrejelzés ARMA módszerrel</w:t>
      </w:r>
    </w:p>
    <w:p w14:paraId="652A75DB" w14:textId="77777777" w:rsidR="006A5EB3" w:rsidRDefault="00000000">
      <w:pPr>
        <w:pStyle w:val="Heading2"/>
        <w:numPr>
          <w:ilvl w:val="1"/>
          <w:numId w:val="6"/>
        </w:numPr>
        <w:ind w:hanging="735"/>
      </w:pPr>
      <w:bookmarkStart w:id="7" w:name="_heading=h.1t3h5sf" w:colFirst="0" w:colLast="0"/>
      <w:bookmarkEnd w:id="7"/>
      <w:r>
        <w:t>A stacionaritás vizsgálata</w:t>
      </w:r>
    </w:p>
    <w:p w14:paraId="28F85037" w14:textId="77777777" w:rsidR="006A5EB3" w:rsidRDefault="00000000">
      <w:pPr>
        <w:jc w:val="both"/>
      </w:pPr>
      <w:r>
        <w:t>A stacionaritás az idősorok statisztikai tulajdonságainak időbeni állandóságát vagy közelítő állandóságát jelenti. Egy stacionárius idősor esetén az várható értéke, varianciája és autokorrelációs függvénye állandó, vagy csak időben állandó konstans eltolódásokkal változik. Stacionárius idősorok könnyebben modellezhetők és előrejelzhetők. A stacionaritás meglétét többféleképpen meg lehet állapítani, én a következő teszteket használtam:</w:t>
      </w:r>
    </w:p>
    <w:p w14:paraId="592A18E8" w14:textId="7041FD39" w:rsidR="006A5EB3" w:rsidRDefault="00900036" w:rsidP="00900036">
      <w:pPr>
        <w:numPr>
          <w:ilvl w:val="0"/>
          <w:numId w:val="5"/>
        </w:numPr>
        <w:pBdr>
          <w:top w:val="nil"/>
          <w:left w:val="nil"/>
          <w:bottom w:val="nil"/>
          <w:right w:val="nil"/>
          <w:between w:val="nil"/>
        </w:pBdr>
        <w:spacing w:after="0"/>
        <w:jc w:val="both"/>
      </w:pPr>
      <w:r>
        <w:rPr>
          <w:noProof/>
        </w:rPr>
        <w:drawing>
          <wp:anchor distT="0" distB="0" distL="114300" distR="114300" simplePos="0" relativeHeight="251658240" behindDoc="0" locked="0" layoutInCell="1" hidden="0" allowOverlap="1" wp14:anchorId="77BC2464" wp14:editId="6B44AB02">
            <wp:simplePos x="0" y="0"/>
            <wp:positionH relativeFrom="column">
              <wp:posOffset>3181350</wp:posOffset>
            </wp:positionH>
            <wp:positionV relativeFrom="paragraph">
              <wp:posOffset>739140</wp:posOffset>
            </wp:positionV>
            <wp:extent cx="1788160" cy="479425"/>
            <wp:effectExtent l="0" t="0" r="0" b="0"/>
            <wp:wrapSquare wrapText="bothSides" distT="0" distB="0" distL="114300" distR="114300"/>
            <wp:docPr id="21452479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88160" cy="479425"/>
                    </a:xfrm>
                    <a:prstGeom prst="rect">
                      <a:avLst/>
                    </a:prstGeom>
                    <a:ln/>
                  </pic:spPr>
                </pic:pic>
              </a:graphicData>
            </a:graphic>
          </wp:anchor>
        </w:drawing>
      </w:r>
      <w:r w:rsidR="00000000">
        <w:rPr>
          <w:color w:val="000000"/>
        </w:rPr>
        <w:t xml:space="preserve">Augmented Dickey-Fuller (ADF) teszt: Ez a teszt azt vizsgálja, hogy az autoregresszív modellben lévő egységgyökér (unit root) mellett az idősor rendelkezik-e egyéb autoregresszív szerkezettel. A nullhipotézis az, hogy az idősor rendelkezik egy egységgyökérrel, tehát nem stacionárius. </w:t>
      </w:r>
    </w:p>
    <w:p w14:paraId="3F0A6EB2" w14:textId="676144AA" w:rsidR="006A5EB3" w:rsidRDefault="006A5EB3">
      <w:pPr>
        <w:pBdr>
          <w:top w:val="nil"/>
          <w:left w:val="nil"/>
          <w:bottom w:val="nil"/>
          <w:right w:val="nil"/>
          <w:between w:val="nil"/>
        </w:pBdr>
        <w:spacing w:after="0"/>
        <w:ind w:left="720"/>
        <w:jc w:val="both"/>
        <w:rPr>
          <w:color w:val="000000"/>
        </w:rPr>
      </w:pPr>
    </w:p>
    <w:p w14:paraId="0E458A85" w14:textId="77777777" w:rsidR="006A5EB3" w:rsidRDefault="00000000">
      <w:pPr>
        <w:numPr>
          <w:ilvl w:val="0"/>
          <w:numId w:val="5"/>
        </w:numPr>
        <w:pBdr>
          <w:top w:val="nil"/>
          <w:left w:val="nil"/>
          <w:bottom w:val="nil"/>
          <w:right w:val="nil"/>
          <w:between w:val="nil"/>
        </w:pBdr>
        <w:jc w:val="both"/>
      </w:pPr>
      <w:r>
        <w:rPr>
          <w:color w:val="000000"/>
        </w:rPr>
        <w:lastRenderedPageBreak/>
        <w:t xml:space="preserve">Kwiatkowski-Phillips-Schmidt-Shin (KPSS) teszt: Ezzel a teszttel azt lehet vizsgálni, hogy az idősor szigorúan stacionárius-e. A nullhipotézis az, hogy az idősor szigorúan stacionárius, tehát nincs egységgyökér. </w:t>
      </w:r>
    </w:p>
    <w:p w14:paraId="1CDFBA5B" w14:textId="77777777" w:rsidR="006A5EB3" w:rsidRDefault="00000000">
      <w:pPr>
        <w:ind w:left="360"/>
        <w:jc w:val="both"/>
      </w:pPr>
      <w:r>
        <w:t>A programom segítségével elvégeztem a beolvasott adatsorokra ezeket a teszteket, és a következő eredményeket kaptam:</w:t>
      </w:r>
    </w:p>
    <w:p w14:paraId="4DFCE4B6" w14:textId="77777777" w:rsidR="006A5EB3" w:rsidRDefault="00000000">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1. táblázat</w:t>
      </w:r>
    </w:p>
    <w:tbl>
      <w:tblPr>
        <w:tblW w:w="9035" w:type="dxa"/>
        <w:tblInd w:w="-8" w:type="dxa"/>
        <w:shd w:val="clear" w:color="auto" w:fill="F5F5F5"/>
        <w:tblCellMar>
          <w:top w:w="15" w:type="dxa"/>
          <w:left w:w="15" w:type="dxa"/>
          <w:bottom w:w="15" w:type="dxa"/>
          <w:right w:w="15" w:type="dxa"/>
        </w:tblCellMar>
        <w:tblLook w:val="04A0" w:firstRow="1" w:lastRow="0" w:firstColumn="1" w:lastColumn="0" w:noHBand="0" w:noVBand="1"/>
      </w:tblPr>
      <w:tblGrid>
        <w:gridCol w:w="1276"/>
        <w:gridCol w:w="1731"/>
        <w:gridCol w:w="1543"/>
        <w:gridCol w:w="876"/>
        <w:gridCol w:w="1190"/>
        <w:gridCol w:w="1543"/>
        <w:gridCol w:w="876"/>
      </w:tblGrid>
      <w:tr w:rsidR="003B0BF8" w:rsidRPr="007E2C77" w14:paraId="60EC24A9" w14:textId="77777777" w:rsidTr="00CD1861">
        <w:trPr>
          <w:trHeight w:val="243"/>
          <w:tblHeader/>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14:paraId="7E310385" w14:textId="6AB0620B" w:rsidR="003B0BF8" w:rsidRPr="00CD1861" w:rsidRDefault="003B0BF8" w:rsidP="003B0BF8">
            <w:pPr>
              <w:spacing w:after="0" w:line="240" w:lineRule="auto"/>
              <w:jc w:val="center"/>
              <w:rPr>
                <w:rFonts w:ascii="Segoe UI" w:hAnsi="Segoe UI" w:cs="Segoe UI"/>
                <w:b/>
                <w:bCs/>
                <w:color w:val="363636"/>
                <w:sz w:val="22"/>
                <w:szCs w:val="22"/>
                <w:lang w:val="en-GB"/>
              </w:rPr>
            </w:pPr>
            <w:r w:rsidRPr="007E2C77">
              <w:rPr>
                <w:rFonts w:ascii="Segoe UI" w:hAnsi="Segoe UI" w:cs="Segoe UI"/>
                <w:b/>
                <w:bCs/>
                <w:color w:val="363636"/>
                <w:sz w:val="22"/>
                <w:szCs w:val="22"/>
                <w:lang w:val="en-GB"/>
              </w:rPr>
              <w:br/>
            </w:r>
            <w:r w:rsidRPr="00CD1861">
              <w:rPr>
                <w:rFonts w:ascii="Segoe UI" w:hAnsi="Segoe UI" w:cs="Segoe UI"/>
                <w:b/>
                <w:bCs/>
                <w:color w:val="363636"/>
                <w:sz w:val="22"/>
                <w:szCs w:val="22"/>
                <w:lang w:val="en-GB"/>
              </w:rPr>
              <w:t>megye</w:t>
            </w:r>
          </w:p>
        </w:tc>
        <w:tc>
          <w:tcPr>
            <w:tcW w:w="410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E26497" w14:textId="05FE79E1" w:rsidR="003B0BF8" w:rsidRPr="00CD1861" w:rsidRDefault="003B0BF8" w:rsidP="007E2C77">
            <w:pPr>
              <w:spacing w:after="0" w:line="240" w:lineRule="auto"/>
              <w:jc w:val="center"/>
              <w:rPr>
                <w:rFonts w:ascii="Segoe UI" w:hAnsi="Segoe UI" w:cs="Segoe UI"/>
                <w:b/>
                <w:bCs/>
                <w:color w:val="363636"/>
                <w:sz w:val="22"/>
                <w:szCs w:val="22"/>
                <w:lang w:val="en-GB"/>
              </w:rPr>
            </w:pPr>
            <w:r w:rsidRPr="007E2C77">
              <w:rPr>
                <w:rFonts w:ascii="Segoe UI" w:hAnsi="Segoe UI" w:cs="Segoe UI"/>
                <w:b/>
                <w:bCs/>
                <w:color w:val="363636"/>
                <w:sz w:val="22"/>
                <w:szCs w:val="22"/>
                <w:lang w:val="en-GB"/>
              </w:rPr>
              <w:t>ADF</w:t>
            </w:r>
          </w:p>
        </w:tc>
        <w:tc>
          <w:tcPr>
            <w:tcW w:w="36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F4C310" w14:textId="669FE9DB" w:rsidR="003B0BF8" w:rsidRPr="007E2C77" w:rsidRDefault="003B0BF8" w:rsidP="007E2C77">
            <w:pPr>
              <w:spacing w:after="0" w:line="240" w:lineRule="auto"/>
              <w:jc w:val="center"/>
              <w:rPr>
                <w:rFonts w:ascii="Segoe UI" w:hAnsi="Segoe UI" w:cs="Segoe UI"/>
                <w:b/>
                <w:bCs/>
                <w:color w:val="363636"/>
                <w:sz w:val="22"/>
                <w:szCs w:val="22"/>
                <w:lang w:val="en-GB"/>
              </w:rPr>
            </w:pPr>
            <w:r w:rsidRPr="007E2C77">
              <w:rPr>
                <w:rFonts w:ascii="Segoe UI" w:hAnsi="Segoe UI" w:cs="Segoe UI"/>
                <w:b/>
                <w:bCs/>
                <w:color w:val="363636"/>
                <w:sz w:val="22"/>
                <w:szCs w:val="22"/>
                <w:lang w:val="en-GB"/>
              </w:rPr>
              <w:t>KPSS</w:t>
            </w:r>
          </w:p>
        </w:tc>
      </w:tr>
      <w:tr w:rsidR="003B0BF8" w:rsidRPr="007E2C77" w14:paraId="19761A9E" w14:textId="77777777" w:rsidTr="00CD1861">
        <w:trPr>
          <w:trHeight w:val="314"/>
        </w:trPr>
        <w:tc>
          <w:tcPr>
            <w:tcW w:w="1276" w:type="dxa"/>
            <w:vMerge/>
            <w:tcBorders>
              <w:left w:val="single" w:sz="4" w:space="0" w:color="auto"/>
              <w:bottom w:val="single" w:sz="4" w:space="0" w:color="auto"/>
              <w:right w:val="single" w:sz="4" w:space="0" w:color="auto"/>
            </w:tcBorders>
            <w:shd w:val="clear" w:color="auto" w:fill="F5F5F5"/>
            <w:tcMar>
              <w:top w:w="60" w:type="dxa"/>
              <w:left w:w="120" w:type="dxa"/>
              <w:bottom w:w="60" w:type="dxa"/>
              <w:right w:w="120" w:type="dxa"/>
            </w:tcMar>
          </w:tcPr>
          <w:p w14:paraId="7E667498" w14:textId="77777777" w:rsidR="003B0BF8" w:rsidRPr="00CD1861" w:rsidRDefault="003B0BF8" w:rsidP="00127832">
            <w:pPr>
              <w:spacing w:after="0" w:line="240" w:lineRule="auto"/>
              <w:rPr>
                <w:rFonts w:ascii="Segoe UI" w:hAnsi="Segoe UI" w:cs="Segoe UI"/>
                <w:color w:val="363636"/>
                <w:sz w:val="22"/>
                <w:szCs w:val="22"/>
                <w:lang w:val="en-GB"/>
              </w:rPr>
            </w:pPr>
          </w:p>
        </w:tc>
        <w:tc>
          <w:tcPr>
            <w:tcW w:w="1731" w:type="dxa"/>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3B93F41D" w14:textId="579A8973" w:rsidR="003B0BF8" w:rsidRPr="00CD1861" w:rsidRDefault="003B0BF8" w:rsidP="00CD1861">
            <w:pPr>
              <w:spacing w:after="0" w:line="240" w:lineRule="auto"/>
              <w:jc w:val="center"/>
              <w:rPr>
                <w:rFonts w:ascii="Segoe UI" w:hAnsi="Segoe UI" w:cs="Segoe UI"/>
                <w:color w:val="363636"/>
                <w:sz w:val="22"/>
                <w:szCs w:val="22"/>
                <w:lang w:val="en-GB"/>
              </w:rPr>
            </w:pPr>
            <w:r w:rsidRPr="00CD1861">
              <w:rPr>
                <w:rFonts w:ascii="Segoe UI" w:hAnsi="Segoe UI" w:cs="Segoe UI"/>
                <w:color w:val="363636"/>
                <w:sz w:val="22"/>
                <w:szCs w:val="22"/>
                <w:lang w:val="en-GB"/>
              </w:rPr>
              <w:t>statisztika</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3608D0FB" w14:textId="5D9C43FF" w:rsidR="003B0BF8" w:rsidRPr="00CD1861" w:rsidRDefault="003B0BF8" w:rsidP="00CD1861">
            <w:pPr>
              <w:spacing w:after="0" w:line="240" w:lineRule="auto"/>
              <w:jc w:val="center"/>
              <w:rPr>
                <w:rFonts w:ascii="Segoe UI" w:hAnsi="Segoe UI" w:cs="Segoe UI"/>
                <w:color w:val="363636"/>
                <w:sz w:val="22"/>
                <w:szCs w:val="22"/>
                <w:lang w:val="en-GB"/>
              </w:rPr>
            </w:pPr>
            <w:r w:rsidRPr="00CD1861">
              <w:rPr>
                <w:rFonts w:ascii="Segoe UI" w:hAnsi="Segoe UI" w:cs="Segoe UI"/>
                <w:color w:val="363636"/>
                <w:sz w:val="22"/>
                <w:szCs w:val="22"/>
                <w:lang w:val="en-GB"/>
              </w:rPr>
              <w:t>5% kritikus érték</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0B45FBDD" w14:textId="349FBCCC" w:rsidR="003B0BF8" w:rsidRPr="00CD1861" w:rsidRDefault="003B0BF8" w:rsidP="00CD1861">
            <w:pPr>
              <w:spacing w:after="0" w:line="240" w:lineRule="auto"/>
              <w:jc w:val="center"/>
              <w:rPr>
                <w:rFonts w:ascii="Segoe UI" w:hAnsi="Segoe UI" w:cs="Segoe UI"/>
                <w:color w:val="363636"/>
                <w:sz w:val="22"/>
                <w:szCs w:val="22"/>
                <w:lang w:val="en-GB"/>
              </w:rPr>
            </w:pPr>
            <w:r w:rsidRPr="00CD1861">
              <w:rPr>
                <w:rFonts w:ascii="Segoe UI" w:hAnsi="Segoe UI" w:cs="Segoe UI"/>
                <w:color w:val="363636"/>
                <w:sz w:val="22"/>
                <w:szCs w:val="22"/>
                <w:lang w:val="en-GB"/>
              </w:rPr>
              <w:t>p-érték</w:t>
            </w:r>
          </w:p>
        </w:tc>
        <w:tc>
          <w:tcPr>
            <w:tcW w:w="0" w:type="auto"/>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16DBF620" w14:textId="6CA6A3D3" w:rsidR="003B0BF8" w:rsidRPr="00CD1861" w:rsidRDefault="003B0BF8" w:rsidP="00CD1861">
            <w:pPr>
              <w:spacing w:after="0" w:line="240" w:lineRule="auto"/>
              <w:jc w:val="center"/>
              <w:rPr>
                <w:rFonts w:ascii="Segoe UI" w:hAnsi="Segoe UI" w:cs="Segoe UI"/>
                <w:color w:val="363636"/>
                <w:sz w:val="22"/>
                <w:szCs w:val="22"/>
                <w:lang w:val="en-GB"/>
              </w:rPr>
            </w:pPr>
            <w:r w:rsidRPr="00CD1861">
              <w:rPr>
                <w:rFonts w:ascii="Segoe UI" w:hAnsi="Segoe UI" w:cs="Segoe UI"/>
                <w:color w:val="363636"/>
                <w:sz w:val="22"/>
                <w:szCs w:val="22"/>
                <w:lang w:val="en-GB"/>
              </w:rPr>
              <w:t>statisztika</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0F7DDCE1" w14:textId="4EE977F6" w:rsidR="003B0BF8" w:rsidRPr="00CD1861" w:rsidRDefault="003B0BF8" w:rsidP="00CD1861">
            <w:pPr>
              <w:spacing w:after="0" w:line="240" w:lineRule="auto"/>
              <w:jc w:val="center"/>
              <w:rPr>
                <w:rFonts w:ascii="Segoe UI" w:hAnsi="Segoe UI" w:cs="Segoe UI"/>
                <w:color w:val="363636"/>
                <w:sz w:val="22"/>
                <w:szCs w:val="22"/>
                <w:lang w:val="en-GB"/>
              </w:rPr>
            </w:pPr>
            <w:r w:rsidRPr="00CD1861">
              <w:rPr>
                <w:rFonts w:ascii="Segoe UI" w:hAnsi="Segoe UI" w:cs="Segoe UI"/>
                <w:color w:val="363636"/>
                <w:sz w:val="22"/>
                <w:szCs w:val="22"/>
                <w:lang w:val="en-GB"/>
              </w:rPr>
              <w:t>5% kritikus érték</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6A8F6081" w14:textId="07F0932E" w:rsidR="003B0BF8" w:rsidRPr="00CD1861" w:rsidRDefault="003B0BF8" w:rsidP="00CD1861">
            <w:pPr>
              <w:spacing w:after="0" w:line="240" w:lineRule="auto"/>
              <w:jc w:val="center"/>
              <w:rPr>
                <w:rFonts w:ascii="Segoe UI" w:hAnsi="Segoe UI" w:cs="Segoe UI"/>
                <w:color w:val="363636"/>
                <w:sz w:val="22"/>
                <w:szCs w:val="22"/>
                <w:lang w:val="en-GB"/>
              </w:rPr>
            </w:pPr>
            <w:r w:rsidRPr="00CD1861">
              <w:rPr>
                <w:rFonts w:ascii="Segoe UI" w:hAnsi="Segoe UI" w:cs="Segoe UI"/>
                <w:color w:val="363636"/>
                <w:sz w:val="22"/>
                <w:szCs w:val="22"/>
                <w:lang w:val="en-GB"/>
              </w:rPr>
              <w:t>p-érték</w:t>
            </w:r>
          </w:p>
        </w:tc>
      </w:tr>
      <w:tr w:rsidR="00127832" w:rsidRPr="007E2C77" w14:paraId="0F467CB9" w14:textId="77777777" w:rsidTr="00CD1861">
        <w:trPr>
          <w:trHeight w:val="314"/>
        </w:trPr>
        <w:tc>
          <w:tcPr>
            <w:tcW w:w="1276" w:type="dxa"/>
            <w:tcBorders>
              <w:top w:val="single" w:sz="4" w:space="0" w:color="auto"/>
              <w:left w:val="single" w:sz="4" w:space="0" w:color="auto"/>
              <w:bottom w:val="single" w:sz="4" w:space="0" w:color="auto"/>
              <w:right w:val="single" w:sz="4" w:space="0" w:color="auto"/>
            </w:tcBorders>
            <w:shd w:val="clear" w:color="auto" w:fill="F5F5F5"/>
            <w:tcMar>
              <w:top w:w="60" w:type="dxa"/>
              <w:left w:w="120" w:type="dxa"/>
              <w:bottom w:w="60" w:type="dxa"/>
              <w:right w:w="120" w:type="dxa"/>
            </w:tcMar>
            <w:hideMark/>
          </w:tcPr>
          <w:p w14:paraId="5AE0D733"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Kovászna</w:t>
            </w:r>
          </w:p>
        </w:tc>
        <w:tc>
          <w:tcPr>
            <w:tcW w:w="1731" w:type="dxa"/>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hideMark/>
          </w:tcPr>
          <w:p w14:paraId="7EACA93F"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-2.79</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hideMark/>
          </w:tcPr>
          <w:p w14:paraId="4E050EA6"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-3.48</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hideMark/>
          </w:tcPr>
          <w:p w14:paraId="01718474"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-2.58</w:t>
            </w:r>
          </w:p>
        </w:tc>
        <w:tc>
          <w:tcPr>
            <w:tcW w:w="0" w:type="auto"/>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hideMark/>
          </w:tcPr>
          <w:p w14:paraId="7AF30199"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1.53</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hideMark/>
          </w:tcPr>
          <w:p w14:paraId="7834893D"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0.74</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hideMark/>
          </w:tcPr>
          <w:p w14:paraId="1BC5D343"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0.35</w:t>
            </w:r>
          </w:p>
        </w:tc>
      </w:tr>
      <w:tr w:rsidR="00127832" w:rsidRPr="007E2C77" w14:paraId="6919A188" w14:textId="77777777" w:rsidTr="00CD1861">
        <w:trPr>
          <w:trHeight w:val="423"/>
        </w:trPr>
        <w:tc>
          <w:tcPr>
            <w:tcW w:w="1276" w:type="dxa"/>
            <w:tcBorders>
              <w:top w:val="single" w:sz="4" w:space="0" w:color="auto"/>
              <w:left w:val="single" w:sz="4" w:space="0" w:color="auto"/>
              <w:bottom w:val="single" w:sz="4" w:space="0" w:color="auto"/>
              <w:right w:val="single" w:sz="4" w:space="0" w:color="auto"/>
            </w:tcBorders>
            <w:shd w:val="clear" w:color="auto" w:fill="FAFAFA"/>
            <w:tcMar>
              <w:top w:w="60" w:type="dxa"/>
              <w:left w:w="120" w:type="dxa"/>
              <w:bottom w:w="60" w:type="dxa"/>
              <w:right w:w="120" w:type="dxa"/>
            </w:tcMar>
            <w:hideMark/>
          </w:tcPr>
          <w:p w14:paraId="1E2B6E58"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Hargita</w:t>
            </w:r>
          </w:p>
        </w:tc>
        <w:tc>
          <w:tcPr>
            <w:tcW w:w="1731" w:type="dxa"/>
            <w:tcBorders>
              <w:top w:val="single" w:sz="4" w:space="0" w:color="auto"/>
              <w:left w:val="single" w:sz="4" w:space="0" w:color="auto"/>
              <w:bottom w:val="single" w:sz="4" w:space="0" w:color="auto"/>
              <w:right w:val="single" w:sz="6" w:space="0" w:color="DBDBDB"/>
            </w:tcBorders>
            <w:shd w:val="clear" w:color="auto" w:fill="FAFAFA"/>
            <w:tcMar>
              <w:top w:w="60" w:type="dxa"/>
              <w:left w:w="120" w:type="dxa"/>
              <w:bottom w:w="60" w:type="dxa"/>
              <w:right w:w="120" w:type="dxa"/>
            </w:tcMar>
            <w:hideMark/>
          </w:tcPr>
          <w:p w14:paraId="0334F519"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-2.64</w:t>
            </w:r>
          </w:p>
        </w:tc>
        <w:tc>
          <w:tcPr>
            <w:tcW w:w="0" w:type="auto"/>
            <w:tcBorders>
              <w:top w:val="single" w:sz="4" w:space="0" w:color="auto"/>
              <w:left w:val="single" w:sz="6" w:space="0" w:color="DBDBDB"/>
              <w:bottom w:val="single" w:sz="4" w:space="0" w:color="auto"/>
              <w:right w:val="single" w:sz="6" w:space="0" w:color="DBDBDB"/>
            </w:tcBorders>
            <w:shd w:val="clear" w:color="auto" w:fill="FAFAFA"/>
            <w:tcMar>
              <w:top w:w="60" w:type="dxa"/>
              <w:left w:w="120" w:type="dxa"/>
              <w:bottom w:w="60" w:type="dxa"/>
              <w:right w:w="120" w:type="dxa"/>
            </w:tcMar>
            <w:hideMark/>
          </w:tcPr>
          <w:p w14:paraId="4869130A"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-3.48</w:t>
            </w:r>
          </w:p>
        </w:tc>
        <w:tc>
          <w:tcPr>
            <w:tcW w:w="0" w:type="auto"/>
            <w:tcBorders>
              <w:top w:val="single" w:sz="4" w:space="0" w:color="auto"/>
              <w:left w:val="single" w:sz="6" w:space="0" w:color="DBDBDB"/>
              <w:bottom w:val="single" w:sz="4" w:space="0" w:color="auto"/>
              <w:right w:val="single" w:sz="4" w:space="0" w:color="auto"/>
            </w:tcBorders>
            <w:shd w:val="clear" w:color="auto" w:fill="FAFAFA"/>
            <w:tcMar>
              <w:top w:w="60" w:type="dxa"/>
              <w:left w:w="120" w:type="dxa"/>
              <w:bottom w:w="60" w:type="dxa"/>
              <w:right w:w="120" w:type="dxa"/>
            </w:tcMar>
            <w:hideMark/>
          </w:tcPr>
          <w:p w14:paraId="2A7F9A3A"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-2.58</w:t>
            </w:r>
          </w:p>
        </w:tc>
        <w:tc>
          <w:tcPr>
            <w:tcW w:w="0" w:type="auto"/>
            <w:tcBorders>
              <w:top w:val="single" w:sz="4" w:space="0" w:color="auto"/>
              <w:left w:val="single" w:sz="4" w:space="0" w:color="auto"/>
              <w:bottom w:val="single" w:sz="4" w:space="0" w:color="auto"/>
              <w:right w:val="single" w:sz="6" w:space="0" w:color="DBDBDB"/>
            </w:tcBorders>
            <w:shd w:val="clear" w:color="auto" w:fill="FAFAFA"/>
            <w:tcMar>
              <w:top w:w="60" w:type="dxa"/>
              <w:left w:w="120" w:type="dxa"/>
              <w:bottom w:w="60" w:type="dxa"/>
              <w:right w:w="120" w:type="dxa"/>
            </w:tcMar>
            <w:hideMark/>
          </w:tcPr>
          <w:p w14:paraId="7C4C6874"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1.48</w:t>
            </w:r>
          </w:p>
        </w:tc>
        <w:tc>
          <w:tcPr>
            <w:tcW w:w="0" w:type="auto"/>
            <w:tcBorders>
              <w:top w:val="single" w:sz="4" w:space="0" w:color="auto"/>
              <w:left w:val="single" w:sz="6" w:space="0" w:color="DBDBDB"/>
              <w:bottom w:val="single" w:sz="4" w:space="0" w:color="auto"/>
              <w:right w:val="single" w:sz="6" w:space="0" w:color="DBDBDB"/>
            </w:tcBorders>
            <w:shd w:val="clear" w:color="auto" w:fill="FAFAFA"/>
            <w:tcMar>
              <w:top w:w="60" w:type="dxa"/>
              <w:left w:w="120" w:type="dxa"/>
              <w:bottom w:w="60" w:type="dxa"/>
              <w:right w:w="120" w:type="dxa"/>
            </w:tcMar>
            <w:hideMark/>
          </w:tcPr>
          <w:p w14:paraId="0F4D30F7"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0.74</w:t>
            </w:r>
          </w:p>
        </w:tc>
        <w:tc>
          <w:tcPr>
            <w:tcW w:w="0" w:type="auto"/>
            <w:tcBorders>
              <w:top w:val="single" w:sz="4" w:space="0" w:color="auto"/>
              <w:left w:val="single" w:sz="6" w:space="0" w:color="DBDBDB"/>
              <w:bottom w:val="single" w:sz="4" w:space="0" w:color="auto"/>
              <w:right w:val="single" w:sz="4" w:space="0" w:color="auto"/>
            </w:tcBorders>
            <w:shd w:val="clear" w:color="auto" w:fill="FAFAFA"/>
            <w:tcMar>
              <w:top w:w="60" w:type="dxa"/>
              <w:left w:w="120" w:type="dxa"/>
              <w:bottom w:w="60" w:type="dxa"/>
              <w:right w:w="120" w:type="dxa"/>
            </w:tcMar>
            <w:hideMark/>
          </w:tcPr>
          <w:p w14:paraId="2DA68A6F"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0.35</w:t>
            </w:r>
          </w:p>
        </w:tc>
      </w:tr>
      <w:tr w:rsidR="00127832" w:rsidRPr="007E2C77" w14:paraId="386C0E17" w14:textId="77777777" w:rsidTr="00CD1861">
        <w:trPr>
          <w:trHeight w:val="330"/>
        </w:trPr>
        <w:tc>
          <w:tcPr>
            <w:tcW w:w="1276" w:type="dxa"/>
            <w:tcBorders>
              <w:top w:val="single" w:sz="4" w:space="0" w:color="auto"/>
              <w:left w:val="single" w:sz="4" w:space="0" w:color="auto"/>
              <w:bottom w:val="single" w:sz="4" w:space="0" w:color="auto"/>
              <w:right w:val="single" w:sz="4" w:space="0" w:color="auto"/>
            </w:tcBorders>
            <w:shd w:val="clear" w:color="auto" w:fill="F5F5F5"/>
            <w:tcMar>
              <w:top w:w="60" w:type="dxa"/>
              <w:left w:w="120" w:type="dxa"/>
              <w:bottom w:w="60" w:type="dxa"/>
              <w:right w:w="120" w:type="dxa"/>
            </w:tcMar>
            <w:hideMark/>
          </w:tcPr>
          <w:p w14:paraId="1756DD1D"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Maros</w:t>
            </w:r>
          </w:p>
        </w:tc>
        <w:tc>
          <w:tcPr>
            <w:tcW w:w="1731" w:type="dxa"/>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hideMark/>
          </w:tcPr>
          <w:p w14:paraId="7A6D5AED"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-2.37</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hideMark/>
          </w:tcPr>
          <w:p w14:paraId="316730AB"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-3.48</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hideMark/>
          </w:tcPr>
          <w:p w14:paraId="7493CB2F"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-2.58</w:t>
            </w:r>
          </w:p>
        </w:tc>
        <w:tc>
          <w:tcPr>
            <w:tcW w:w="0" w:type="auto"/>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hideMark/>
          </w:tcPr>
          <w:p w14:paraId="64E6D297"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1.65</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hideMark/>
          </w:tcPr>
          <w:p w14:paraId="10E6733A"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0.74</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hideMark/>
          </w:tcPr>
          <w:p w14:paraId="56D80607" w14:textId="77777777" w:rsidR="00127832" w:rsidRPr="007E2C77" w:rsidRDefault="00127832" w:rsidP="00127832">
            <w:pPr>
              <w:spacing w:after="0" w:line="240" w:lineRule="auto"/>
              <w:rPr>
                <w:rFonts w:ascii="Segoe UI" w:hAnsi="Segoe UI" w:cs="Segoe UI"/>
                <w:color w:val="363636"/>
                <w:lang w:val="en-GB"/>
              </w:rPr>
            </w:pPr>
            <w:r w:rsidRPr="007E2C77">
              <w:rPr>
                <w:rFonts w:ascii="Segoe UI" w:hAnsi="Segoe UI" w:cs="Segoe UI"/>
                <w:color w:val="363636"/>
                <w:lang w:val="en-GB"/>
              </w:rPr>
              <w:t>0.35</w:t>
            </w:r>
          </w:p>
        </w:tc>
      </w:tr>
    </w:tbl>
    <w:p w14:paraId="00FBEF1B" w14:textId="77777777" w:rsidR="006A5EB3" w:rsidRDefault="006A5EB3">
      <w:pPr>
        <w:jc w:val="both"/>
      </w:pPr>
    </w:p>
    <w:p w14:paraId="5C1090EF" w14:textId="77777777" w:rsidR="006A5EB3" w:rsidRDefault="00000000">
      <w:pPr>
        <w:jc w:val="both"/>
      </w:pPr>
      <w:r>
        <w:t>ADF Statisztika: Ez a teszt az autoregresszív komponens jelenlétét vizsgálja az idősorban. Ha az ADF statisztika abszolútértéke elég nagy és a p-érték kisebb a kritikus értéknél (általában 0.05), akkor elutasíthatjuk a nullhipotézist, ami azt jelenti, hogy az idősor stacionárius.</w:t>
      </w:r>
    </w:p>
    <w:p w14:paraId="02950E86" w14:textId="77777777" w:rsidR="006A5EB3" w:rsidRDefault="00000000">
      <w:pPr>
        <w:jc w:val="both"/>
      </w:pPr>
      <w:r>
        <w:t>ADF p-érték: Ez az érték a nullhipotézis elutasításához szükséges szignifikanciaszintet méri. Általában, ha a p-érték kisebb, mint 0.05, akkor elutasítjuk a nullhipotézist.</w:t>
      </w:r>
    </w:p>
    <w:p w14:paraId="2B5AE6A0" w14:textId="77777777" w:rsidR="006A5EB3" w:rsidRDefault="00000000">
      <w:pPr>
        <w:jc w:val="both"/>
      </w:pPr>
      <w:r>
        <w:t>KPSS Statisztika: A KPSS teszt arra irányul, hogy vizsgálja, vannak-e olyan periódusos elemek az idősorban, amelyek kiszélesítik a várt értéket. Ha a statisztika nagyobb a kritikus értéknél, akkor az idősor nem stacionárius.</w:t>
      </w:r>
    </w:p>
    <w:p w14:paraId="594E4797" w14:textId="77777777" w:rsidR="006A5EB3" w:rsidRDefault="00000000">
      <w:pPr>
        <w:jc w:val="both"/>
      </w:pPr>
      <w:r>
        <w:t>KPSS p-érték: Ez is a nullhipotézis elutasításának szignifikanciaszintjét méri. Általában, ha a p-érték kisebb, mint 0.05, akkor elutasítjuk a nullhipotézist.</w:t>
      </w:r>
    </w:p>
    <w:p w14:paraId="2B1D56EE" w14:textId="77777777" w:rsidR="006A5EB3" w:rsidRDefault="00000000">
      <w:pPr>
        <w:jc w:val="both"/>
      </w:pPr>
      <w:r>
        <w:t xml:space="preserve">A táblázatban látható eredmények alapján minden megye esetén az ADF és KPSS p-értékeket összehasonlítva, mindegyik esetben elutasíthatjuk a nullhipotézist, vagyis </w:t>
      </w:r>
      <w:r>
        <w:rPr>
          <w:b/>
        </w:rPr>
        <w:t>az idősorok stacionáriusnak tekinthetők</w:t>
      </w:r>
      <w:r>
        <w:t xml:space="preserve">. </w:t>
      </w:r>
    </w:p>
    <w:p w14:paraId="1F9CB198" w14:textId="77777777" w:rsidR="006A5EB3" w:rsidRDefault="00000000">
      <w:pPr>
        <w:pStyle w:val="Heading2"/>
        <w:numPr>
          <w:ilvl w:val="1"/>
          <w:numId w:val="6"/>
        </w:numPr>
        <w:ind w:hanging="735"/>
      </w:pPr>
      <w:bookmarkStart w:id="8" w:name="_heading=h.4d34og8" w:colFirst="0" w:colLast="0"/>
      <w:bookmarkEnd w:id="8"/>
      <w:r>
        <w:t>Autoregresszív és mozgóátlag modellek (AR, MA, ARMA)</w:t>
      </w:r>
    </w:p>
    <w:p w14:paraId="5955D27C" w14:textId="77777777" w:rsidR="006A5EB3" w:rsidRDefault="00000000">
      <w:pPr>
        <w:jc w:val="both"/>
      </w:pPr>
      <w:r>
        <w:rPr>
          <w:b/>
        </w:rPr>
        <w:t>Az autoregresszió (AR)</w:t>
      </w:r>
      <w:r>
        <w:t xml:space="preserve"> azt jelenti, hogy az aktuális időpontbeli értéket a korábbi időpontbeli értékek határozzák meg. Az AR komponens arra utal, hogy az aktuális érték korrelál az előző </w:t>
      </w:r>
      <w:r>
        <w:lastRenderedPageBreak/>
        <w:t xml:space="preserve">időpontbeli értékekkel. A "p" paraméter megadja az autoregressziós rendszámot, vagyis hány darab előző időpontbeli értéket használunk az aktuális érték becsléséhez. </w:t>
      </w:r>
    </w:p>
    <w:p w14:paraId="4C78B6B6" w14:textId="77777777" w:rsidR="006A5EB3" w:rsidRDefault="00000000">
      <w:pPr>
        <w:jc w:val="both"/>
      </w:pPr>
      <w:r>
        <w:t>Egy p-rendű autoregresszív modellt, amelynek jelzése AR</w:t>
      </w:r>
      <w:r>
        <w:rPr>
          <w:vertAlign w:val="subscript"/>
        </w:rPr>
        <w:t>(p),</w:t>
      </w:r>
      <w:r>
        <w:t xml:space="preserve"> a következőképpen értelmezünk: </w:t>
      </w:r>
    </w:p>
    <w:p w14:paraId="4E0651E3" w14:textId="77777777" w:rsidR="006A5EB3"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t</m:t>
              </m:r>
            </m:sub>
          </m:sSub>
          <m:r>
            <w:rPr>
              <w:rFonts w:ascii="Cambria Math" w:eastAsia="Cambria Math" w:hAnsi="Cambria Math" w:cs="Cambria Math"/>
              <w:color w:val="000000"/>
            </w:rPr>
            <m:t xml:space="preserve">= α+ </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ϕ </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ϕ </m:t>
              </m:r>
            </m:e>
            <m:sub>
              <m:r>
                <w:rPr>
                  <w:rFonts w:ascii="Cambria Math" w:eastAsia="Cambria Math" w:hAnsi="Cambria Math" w:cs="Cambria Math"/>
                  <w:color w:val="000000"/>
                </w:rPr>
                <m:t>p</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t-p</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ε</m:t>
              </m:r>
            </m:e>
            <m:sub>
              <m:r>
                <w:rPr>
                  <w:rFonts w:ascii="Cambria Math" w:eastAsia="Cambria Math" w:hAnsi="Cambria Math" w:cs="Cambria Math"/>
                  <w:color w:val="000000"/>
                </w:rPr>
                <m:t>t</m:t>
              </m:r>
            </m:sub>
          </m:sSub>
          <m:r>
            <w:rPr>
              <w:rFonts w:ascii="Cambria Math" w:eastAsia="Cambria Math" w:hAnsi="Cambria Math" w:cs="Cambria Math"/>
              <w:color w:val="000000"/>
            </w:rPr>
            <m:t xml:space="preserve">,    t=p+1, …, n </m:t>
          </m:r>
        </m:oMath>
      </m:oMathPara>
    </w:p>
    <w:p w14:paraId="63804F46" w14:textId="77777777" w:rsidR="006A5EB3" w:rsidRDefault="00000000">
      <w:pPr>
        <w:jc w:val="both"/>
      </w:pPr>
      <w:r>
        <w:t xml:space="preserve">Az </w:t>
      </w:r>
      <m:oMath>
        <m:sSub>
          <m:sSubPr>
            <m:ctrlPr>
              <w:rPr>
                <w:rFonts w:ascii="Cambria Math" w:eastAsia="Cambria Math" w:hAnsi="Cambria Math" w:cs="Cambria Math"/>
              </w:rPr>
            </m:ctrlPr>
          </m:sSubPr>
          <m:e>
            <m:r>
              <w:rPr>
                <w:rFonts w:ascii="Cambria Math" w:hAnsi="Cambria Math"/>
              </w:rPr>
              <m:t>ϕ</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 xml:space="preserve"> , …,  ϕ</m:t>
            </m:r>
          </m:e>
          <m:sub>
            <m:r>
              <w:rPr>
                <w:rFonts w:ascii="Cambria Math" w:eastAsia="Cambria Math" w:hAnsi="Cambria Math" w:cs="Cambria Math"/>
              </w:rPr>
              <m:t>p</m:t>
            </m:r>
          </m:sub>
        </m:sSub>
        <m:r>
          <w:rPr>
            <w:rFonts w:ascii="Cambria Math" w:eastAsia="Cambria Math" w:hAnsi="Cambria Math" w:cs="Cambria Math"/>
          </w:rPr>
          <m:t xml:space="preserve"> </m:t>
        </m:r>
      </m:oMath>
      <w:r>
        <w:t xml:space="preserve">ismeretlen paraméterek (autoregresszív együtthatók) és az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t</m:t>
            </m:r>
          </m:sub>
        </m:sSub>
      </m:oMath>
      <w:r>
        <w:t xml:space="preserve"> a hibaváltozó, amit </w:t>
      </w:r>
      <w:r>
        <w:rPr>
          <w:b/>
        </w:rPr>
        <w:t>fehérzajnak</w:t>
      </w:r>
      <w:r>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oMath>
      <w:r>
        <w:t xml:space="preserve"> minden késleltetett értékével 0. </w:t>
      </w:r>
      <w:r>
        <w:br/>
        <w:t xml:space="preserve">Az AR(p) tulajdonképpen egy többváltozós </w:t>
      </w:r>
      <w:r>
        <w:rPr>
          <w:b/>
        </w:rPr>
        <w:t>lineáris</w:t>
      </w:r>
      <w:r>
        <w:t xml:space="preserve"> modell, ahol a regresszorok (független változók) a függőváltozó késleltetett értékei. </w:t>
      </w:r>
    </w:p>
    <w:p w14:paraId="4C6E1A27" w14:textId="77777777" w:rsidR="006A5EB3" w:rsidRDefault="00000000">
      <w:pPr>
        <w:jc w:val="both"/>
      </w:pPr>
      <w:r>
        <w:t>Egy AR(p) folyamat akkor stacionárius, ha:</w:t>
      </w:r>
    </w:p>
    <w:p w14:paraId="36EE2F52" w14:textId="77777777" w:rsidR="006A5EB3" w:rsidRDefault="00000000">
      <w:pPr>
        <w:numPr>
          <w:ilvl w:val="0"/>
          <w:numId w:val="4"/>
        </w:numPr>
        <w:pBdr>
          <w:top w:val="nil"/>
          <w:left w:val="nil"/>
          <w:bottom w:val="nil"/>
          <w:right w:val="nil"/>
          <w:between w:val="nil"/>
        </w:pBdr>
        <w:spacing w:after="0"/>
        <w:jc w:val="both"/>
        <w:rPr>
          <w:color w:val="000000"/>
        </w:rPr>
      </w:pPr>
      <w:r>
        <w:rPr>
          <w:color w:val="000000"/>
        </w:rPr>
        <w:t xml:space="preserve">Az autoregresszív </w:t>
      </w:r>
      <m:oMath>
        <m:sSub>
          <m:sSubPr>
            <m:ctrlPr>
              <w:rPr>
                <w:rFonts w:ascii="Cambria Math" w:eastAsia="Cambria Math" w:hAnsi="Cambria Math" w:cs="Cambria Math"/>
                <w:color w:val="000000"/>
              </w:rPr>
            </m:ctrlPr>
          </m:sSubPr>
          <m:e>
            <m:r>
              <w:rPr>
                <w:rFonts w:ascii="Cambria Math" w:hAnsi="Cambria Math"/>
              </w:rPr>
              <m:t>ϕ</m:t>
            </m:r>
          </m:e>
          <m:sub>
            <m:r>
              <w:rPr>
                <w:rFonts w:ascii="Cambria Math" w:eastAsia="Cambria Math" w:hAnsi="Cambria Math" w:cs="Cambria Math"/>
                <w:color w:val="000000"/>
              </w:rPr>
              <m:t>1</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…ϕ </m:t>
            </m:r>
          </m:e>
          <m:sub>
            <m:r>
              <w:rPr>
                <w:rFonts w:ascii="Cambria Math" w:eastAsia="Cambria Math" w:hAnsi="Cambria Math" w:cs="Cambria Math"/>
                <w:color w:val="000000"/>
              </w:rPr>
              <m:t xml:space="preserve">p  </m:t>
            </m:r>
          </m:sub>
        </m:sSub>
      </m:oMath>
      <w:r>
        <w:rPr>
          <w:color w:val="000000"/>
        </w:rPr>
        <w:t>paraméterek abszolútértékei kisebbek, mint 1</w:t>
      </w:r>
    </w:p>
    <w:p w14:paraId="6A9A3EDE" w14:textId="77777777" w:rsidR="006A5EB3" w:rsidRDefault="00000000">
      <w:pPr>
        <w:numPr>
          <w:ilvl w:val="0"/>
          <w:numId w:val="4"/>
        </w:numPr>
        <w:pBdr>
          <w:top w:val="nil"/>
          <w:left w:val="nil"/>
          <w:bottom w:val="nil"/>
          <w:right w:val="nil"/>
          <w:between w:val="nil"/>
        </w:pBdr>
        <w:jc w:val="both"/>
        <w:rPr>
          <w:color w:val="000000"/>
        </w:rPr>
      </w:pPr>
      <w:r>
        <w:rPr>
          <w:color w:val="000000"/>
        </w:rPr>
        <w:t xml:space="preserve"> Ezen paraméterek összegének abszolútértékei kisebb, mint 1</w:t>
      </w:r>
    </w:p>
    <w:p w14:paraId="3A6AC1EF" w14:textId="77777777" w:rsidR="006A5EB3" w:rsidRDefault="00000000">
      <w:pPr>
        <w:jc w:val="center"/>
        <w:rPr>
          <w:rFonts w:ascii="Cambria Math" w:eastAsia="Cambria Math" w:hAnsi="Cambria Math" w:cs="Cambria Math"/>
        </w:rPr>
      </w:pPr>
      <w:r>
        <w:t xml:space="preserve"> A </w:t>
      </w:r>
      <w:r>
        <w:rPr>
          <w:b/>
        </w:rPr>
        <w:t>mozgóátlag</w:t>
      </w:r>
      <w:r>
        <w:t xml:space="preserve"> </w:t>
      </w:r>
      <w:r>
        <w:rPr>
          <w:b/>
        </w:rPr>
        <w:t>(MA)</w:t>
      </w:r>
      <w:r>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 Egy q-rendű mozgóátlag folyamat (MA(q)) jelölése:</w:t>
      </w:r>
      <w:r>
        <w:rPr>
          <w:rFonts w:ascii="Cambria Math" w:eastAsia="Cambria Math" w:hAnsi="Cambria Math" w:cs="Cambria Math"/>
          <w:i/>
        </w:rPr>
        <w:br/>
      </w:r>
      <m:oMathPara>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xml:space="preserve">= α+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t-q</m:t>
              </m:r>
            </m:sub>
          </m:sSub>
          <m:r>
            <w:rPr>
              <w:rFonts w:ascii="Cambria Math" w:eastAsia="Cambria Math" w:hAnsi="Cambria Math" w:cs="Cambria Math"/>
            </w:rPr>
            <m:t>,   t=q+1,…, n</m:t>
          </m:r>
        </m:oMath>
      </m:oMathPara>
    </w:p>
    <w:p w14:paraId="2C9ECE42" w14:textId="77777777" w:rsidR="006A5EB3" w:rsidRDefault="00000000">
      <w:pPr>
        <w:jc w:val="both"/>
      </w:pPr>
      <w:r>
        <w:t xml:space="preserve">Ezek a modellek mindig </w:t>
      </w:r>
      <w:r>
        <w:rPr>
          <w:b/>
        </w:rPr>
        <w:t>stacionáriusok</w:t>
      </w:r>
      <w:r>
        <w:t>, vagyis a folyamat autokorrelációi nem változnak az idő függvényében, tehát az idősorban nincsenek trendek is szezonális mintázatok</w:t>
      </w:r>
      <w:r>
        <w:tab/>
      </w:r>
      <w:r>
        <w:tab/>
      </w:r>
    </w:p>
    <w:p w14:paraId="635B8B0C" w14:textId="77777777" w:rsidR="006A5EB3" w:rsidRDefault="00000000">
      <w:pPr>
        <w:jc w:val="both"/>
      </w:pPr>
      <w:r>
        <w:t xml:space="preserve">A két folyamat kombinációja az </w:t>
      </w:r>
      <w:r>
        <w:rPr>
          <w:b/>
        </w:rPr>
        <w:t xml:space="preserve">ARMA (p, q) </w:t>
      </w:r>
      <w:r>
        <w:t xml:space="preserve">(autoregresszív mozgóátlag) folyamat, amely komplexebb idősorokat is képes leírni csupán két paraméterrel. </w:t>
      </w:r>
    </w:p>
    <w:p w14:paraId="49F239BA" w14:textId="77777777" w:rsidR="006A5EB3"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α+</m:t>
          </m:r>
          <m:sSub>
            <m:sSubPr>
              <m:ctrlPr>
                <w:rPr>
                  <w:rFonts w:ascii="Cambria Math" w:eastAsia="Cambria Math" w:hAnsi="Cambria Math" w:cs="Cambria Math"/>
                </w:rPr>
              </m:ctrlPr>
            </m:sSubPr>
            <m:e>
              <m:r>
                <w:rPr>
                  <w:rFonts w:ascii="Cambria Math" w:eastAsia="Cambria Math" w:hAnsi="Cambria Math" w:cs="Cambria Math"/>
                </w:rPr>
                <m:t xml:space="preserve">ϕ </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m:t>
              </m:r>
            </m:e>
            <m:sub>
              <m:r>
                <w:rPr>
                  <w:rFonts w:ascii="Cambria Math" w:eastAsia="Cambria Math" w:hAnsi="Cambria Math" w:cs="Cambria Math"/>
                </w:rPr>
                <m: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xml:space="preserve">ϕ </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ε</m:t>
              </m:r>
            </m:e>
            <m:sub>
              <m:r>
                <w:rPr>
                  <w:rFonts w:ascii="Cambria Math" w:eastAsia="Cambria Math" w:hAnsi="Cambria Math" w:cs="Cambria Math"/>
                </w:rPr>
                <m:t>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ε</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m:t>
              </m:r>
            </m:e>
            <m:sub>
              <m:r>
                <w:rPr>
                  <w:rFonts w:ascii="Cambria Math" w:eastAsia="Cambria Math" w:hAnsi="Cambria Math" w:cs="Cambria Math"/>
                </w:rPr>
                <m: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q</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t-q</m:t>
              </m:r>
            </m:sub>
          </m:sSub>
        </m:oMath>
      </m:oMathPara>
    </w:p>
    <w:p w14:paraId="6C9D83C3" w14:textId="77777777" w:rsidR="006A5EB3" w:rsidRDefault="00000000">
      <w:pPr>
        <w:jc w:val="both"/>
      </w:pPr>
      <w:r>
        <w:t xml:space="preserve">ahol p az autoregressziós folyamat rendje, q a mozgóátlag folyamat rendje,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oMath>
      <w:r>
        <w:t xml:space="preserve"> az idősorozat aktuális értéke, </w:t>
      </w:r>
      <m:oMath>
        <m:r>
          <w:rPr>
            <w:rFonts w:ascii="Cambria Math" w:hAnsi="Cambria Math"/>
          </w:rPr>
          <m:t>α</m:t>
        </m:r>
      </m:oMath>
      <w:r>
        <w:t xml:space="preserve"> a konstans érték, </w:t>
      </w:r>
      <m:oMath>
        <m:sSub>
          <m:sSubPr>
            <m:ctrlPr>
              <w:rPr>
                <w:rFonts w:ascii="Cambria Math" w:eastAsia="Cambria Math" w:hAnsi="Cambria Math" w:cs="Cambria Math"/>
              </w:rPr>
            </m:ctrlPr>
          </m:sSubPr>
          <m:e>
            <m:r>
              <w:rPr>
                <w:rFonts w:ascii="Cambria Math" w:hAnsi="Cambria Math"/>
              </w:rPr>
              <m:t>ϕ</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p</m:t>
            </m:r>
          </m:sub>
        </m:sSub>
      </m:oMath>
      <w:r>
        <w:t xml:space="preserve"> az autoregresszív együtthatók,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t</m:t>
            </m:r>
          </m:sub>
        </m:sSub>
      </m:oMath>
      <w:r>
        <w:t xml:space="preserve"> az adott időpontbeli fehérzaj,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q</m:t>
            </m:r>
          </m:sub>
        </m:sSub>
      </m:oMath>
      <w:r>
        <w:t xml:space="preserve"> a mozgóátlag együtthatók.</w:t>
      </w:r>
    </w:p>
    <w:p w14:paraId="71D4BEF5" w14:textId="77777777" w:rsidR="006A5EB3" w:rsidRDefault="00000000">
      <w:r>
        <w:t>Egy ARMA folyamat akkor stacionárius, ha az AR komponense stacionárius.</w:t>
      </w:r>
    </w:p>
    <w:p w14:paraId="09AEA53C" w14:textId="77777777" w:rsidR="006A5EB3" w:rsidRDefault="00000000">
      <w:pPr>
        <w:jc w:val="right"/>
      </w:pPr>
      <w:r>
        <w:lastRenderedPageBreak/>
        <w:tab/>
      </w:r>
      <w:r>
        <w:tab/>
      </w:r>
      <w:r>
        <w:tab/>
      </w:r>
      <w:r>
        <w:tab/>
      </w:r>
      <w:r>
        <w:tab/>
        <w:t>(Sándor, 2019)</w:t>
      </w:r>
    </w:p>
    <w:p w14:paraId="0C059563" w14:textId="77777777" w:rsidR="006A5EB3" w:rsidRDefault="00000000">
      <w:pPr>
        <w:pStyle w:val="Heading2"/>
        <w:numPr>
          <w:ilvl w:val="1"/>
          <w:numId w:val="6"/>
        </w:numPr>
        <w:ind w:hanging="735"/>
      </w:pPr>
      <w:bookmarkStart w:id="9" w:name="_heading=h.2s8eyo1" w:colFirst="0" w:colLast="0"/>
      <w:bookmarkEnd w:id="9"/>
      <w:r>
        <w:t xml:space="preserve">Autokorrelációs és parciális autokorrelációs tesztek  </w:t>
      </w:r>
    </w:p>
    <w:p w14:paraId="4D40BF58" w14:textId="77777777" w:rsidR="006A5EB3" w:rsidRDefault="00000000">
      <w:pPr>
        <w:jc w:val="both"/>
      </w:pPr>
      <w:r>
        <w:t xml:space="preserve">Ebben a részben megvizsgálom és elemzem az autokorrelációs (a továbbiakban ACF) és parciális autokorrelációs (a továbbiakban PACF) teszteket annak érdekében, hogy </w:t>
      </w:r>
      <w:r>
        <w:br/>
        <w:t xml:space="preserve">meg tudjam határozni a lehető legjobban illeszkedő idősor modelleket és </w:t>
      </w:r>
      <w:r>
        <w:br/>
        <w:t xml:space="preserve">azok paramétereit (AR(p), MA(q), ARMA(p, q)) az egyes idősorokra. </w:t>
      </w:r>
    </w:p>
    <w:p w14:paraId="47F97EA4" w14:textId="77777777" w:rsidR="006A5EB3" w:rsidRDefault="00000000">
      <w:pPr>
        <w:pStyle w:val="Heading2"/>
        <w:numPr>
          <w:ilvl w:val="2"/>
          <w:numId w:val="6"/>
        </w:numPr>
        <w:ind w:left="709"/>
      </w:pPr>
      <w:bookmarkStart w:id="10" w:name="_heading=h.17dp8vu" w:colFirst="0" w:colLast="0"/>
      <w:bookmarkEnd w:id="10"/>
      <w:r>
        <w:t>ACF</w:t>
      </w:r>
    </w:p>
    <w:p w14:paraId="497C3417" w14:textId="77777777" w:rsidR="006A5EB3" w:rsidRDefault="00000000">
      <w:pPr>
        <w:jc w:val="both"/>
      </w:pPr>
      <w:r>
        <w:t>Egy idősor autokorrelációs függvénye (ACF) az autokorrelációk sorozata:</w:t>
      </w:r>
      <w:r>
        <w:br/>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r>
          <w:rPr>
            <w:rFonts w:ascii="Cambria Math" w:eastAsia="Cambria Math" w:hAnsi="Cambria Math" w:cs="Cambria Math"/>
          </w:rPr>
          <m:t xml:space="preserve">=corr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t-k</m:t>
                </m:r>
              </m:sub>
            </m:sSub>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k</m:t>
                </m:r>
              </m:sub>
            </m:sSub>
          </m:num>
          <m:den>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0</m:t>
                </m:r>
              </m:sub>
            </m:sSub>
          </m:den>
        </m:f>
        <m:r>
          <w:rPr>
            <w:rFonts w:ascii="Cambria Math" w:eastAsia="Cambria Math" w:hAnsi="Cambria Math" w:cs="Cambria Math"/>
          </w:rPr>
          <m:t>,  k=1, 2, …,</m:t>
        </m:r>
      </m:oMath>
      <w:r>
        <w:t xml:space="preserve">  ahol </w:t>
      </w:r>
      <m:oMath>
        <m:sSub>
          <m:sSubPr>
            <m:ctrlPr>
              <w:rPr>
                <w:rFonts w:ascii="Cambria Math" w:eastAsia="Cambria Math" w:hAnsi="Cambria Math" w:cs="Cambria Math"/>
              </w:rPr>
            </m:ctrlPr>
          </m:sSubPr>
          <m:e>
            <m:r>
              <w:rPr>
                <w:rFonts w:ascii="Cambria Math" w:hAnsi="Cambria Math"/>
              </w:rPr>
              <m:t>γ</m:t>
            </m:r>
          </m:e>
          <m:sub>
            <m:r>
              <w:rPr>
                <w:rFonts w:ascii="Cambria Math" w:eastAsia="Cambria Math" w:hAnsi="Cambria Math" w:cs="Cambria Math"/>
              </w:rPr>
              <m:t>k</m:t>
            </m:r>
          </m:sub>
        </m:sSub>
        <m:r>
          <w:rPr>
            <w:rFonts w:ascii="Cambria Math" w:eastAsia="Cambria Math" w:hAnsi="Cambria Math" w:cs="Cambria Math"/>
          </w:rPr>
          <m:t>=E[</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-μ</m:t>
            </m:r>
          </m:e>
        </m:d>
        <m:r>
          <w:rPr>
            <w:rFonts w:ascii="Cambria Math" w:eastAsia="Cambria Math" w:hAnsi="Cambria Math" w:cs="Cambria Math"/>
          </w:rPr>
          <m:t xml:space="preserve">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t-k</m:t>
                </m:r>
              </m:sub>
            </m:sSub>
            <m:r>
              <w:rPr>
                <w:rFonts w:ascii="Cambria Math" w:eastAsia="Cambria Math" w:hAnsi="Cambria Math" w:cs="Cambria Math"/>
              </w:rPr>
              <m:t>-μ</m:t>
            </m:r>
          </m:e>
        </m:d>
        <m:r>
          <w:rPr>
            <w:rFonts w:ascii="Cambria Math" w:eastAsia="Cambria Math" w:hAnsi="Cambria Math" w:cs="Cambria Math"/>
          </w:rPr>
          <m:t>]</m:t>
        </m:r>
      </m:oMath>
      <w:r>
        <w:t xml:space="preserve"> a k-ad rendű autokovariancia.</w:t>
      </w:r>
      <w:r>
        <w:br/>
        <w:t xml:space="preserve">Az ACF segít azonosítani a mozóátlag (MA) folyamatot azáltal, hogy megmutatja, hány időegységnyi korreláció van az aktuális és az előző időpontok között, miközben figyelmen kívül hagyja a köztes időpontokat.  </w:t>
      </w:r>
      <w:r>
        <w:tab/>
        <w:t xml:space="preserve">Ha egy stacionárius folyamat ACF-je teljesíti azt a feltételt, hogy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r>
          <w:rPr>
            <w:rFonts w:ascii="Cambria Math" w:eastAsia="Cambria Math" w:hAnsi="Cambria Math" w:cs="Cambria Math"/>
          </w:rPr>
          <m:t xml:space="preserve">=0, minden k&gt;q esetén, és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 xml:space="preserve"> ≠0, akkor a folyamat MA</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 xml:space="preserve"> folyamat.</m:t>
        </m:r>
      </m:oMath>
    </w:p>
    <w:p w14:paraId="3CE74061" w14:textId="77777777" w:rsidR="006A5EB3" w:rsidRDefault="00000000">
      <w:pPr>
        <w:jc w:val="right"/>
      </w:pPr>
      <w:r>
        <w:t>(Sándor, 2019)</w:t>
      </w:r>
    </w:p>
    <w:p w14:paraId="0E9DA3E8" w14:textId="77777777" w:rsidR="006A5EB3" w:rsidRDefault="00000000">
      <w:r>
        <w:t>Az általam vizsgált idősorok autokorrelációs tesztjei a következőképpen néznek ki:</w:t>
      </w:r>
    </w:p>
    <w:p w14:paraId="50A5A684" w14:textId="77777777" w:rsidR="006A5EB3" w:rsidRDefault="00000000">
      <w:pPr>
        <w:keepNext/>
      </w:pPr>
      <w:r>
        <w:rPr>
          <w:noProof/>
        </w:rPr>
        <w:drawing>
          <wp:inline distT="0" distB="0" distL="0" distR="0" wp14:anchorId="5E458281" wp14:editId="6AE13172">
            <wp:extent cx="5760720" cy="1248355"/>
            <wp:effectExtent l="0" t="0" r="0" b="0"/>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60720" cy="1248355"/>
                    </a:xfrm>
                    <a:prstGeom prst="rect">
                      <a:avLst/>
                    </a:prstGeom>
                    <a:ln/>
                  </pic:spPr>
                </pic:pic>
              </a:graphicData>
            </a:graphic>
          </wp:inline>
        </w:drawing>
      </w:r>
    </w:p>
    <w:p w14:paraId="7DF1E85F"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Elvégzett ACF tesztek a három megyére</w:t>
      </w:r>
    </w:p>
    <w:p w14:paraId="446C7D39" w14:textId="77777777" w:rsidR="006A5EB3" w:rsidRDefault="00000000">
      <w:r>
        <w:t xml:space="preserve">Ha AR folyamat lenne, akkor az első néhány lépés után az autokorrelációk értékei hirtelen zuhannának, viszont a fent látható grafikonok nem ezt mutatják, hanem lineáris, fokozatos csökkenést, emiatt kizárható az, hogy MA(q) folyamatokról lenne szó bármelyik megye esetében is. </w:t>
      </w:r>
    </w:p>
    <w:p w14:paraId="110CBF2A" w14:textId="77777777" w:rsidR="006A5EB3" w:rsidRDefault="00000000">
      <w:pPr>
        <w:pStyle w:val="Heading2"/>
        <w:numPr>
          <w:ilvl w:val="2"/>
          <w:numId w:val="6"/>
        </w:numPr>
        <w:ind w:left="709"/>
      </w:pPr>
      <w:bookmarkStart w:id="11" w:name="_heading=h.3rdcrjn" w:colFirst="0" w:colLast="0"/>
      <w:bookmarkEnd w:id="11"/>
      <w:r>
        <w:t>PACF</w:t>
      </w:r>
    </w:p>
    <w:p w14:paraId="310E5E5D" w14:textId="77777777" w:rsidR="006A5EB3" w:rsidRDefault="00000000">
      <w:pPr>
        <w:jc w:val="both"/>
      </w:pPr>
      <w:r>
        <w:t>Egy AR(1) folyamat esetében a p</w:t>
      </w:r>
      <w:r>
        <w:rPr>
          <w:vertAlign w:val="subscript"/>
        </w:rPr>
        <w:t xml:space="preserve">k </w:t>
      </w:r>
      <w:r>
        <w:t>autokorrelációk</w:t>
      </w:r>
      <w:r>
        <w:rPr>
          <w:vertAlign w:val="subscript"/>
        </w:rPr>
        <w:t xml:space="preserve"> </w:t>
      </w:r>
      <w:r>
        <w:t xml:space="preserve">folyamatosan (exponenciálisan) csökkennek. Általában minden AR(p) folyamatnak megvan ez a tulajdonsága, viszont p &gt; 1 rendű </w:t>
      </w:r>
      <w:r>
        <w:lastRenderedPageBreak/>
        <w:t xml:space="preserve">folyamatok esetében a csökkenés nem feltétlenül monoton. Ha egy stacionárius folyamat PACF értékei csak a p-edik időbeli lépésben nem nullák (tehát minden további lépésben megközelítőleg nullák), akkor AR(p) folyamatról van szó.  </w:t>
      </w:r>
    </w:p>
    <w:p w14:paraId="0F46E0CB" w14:textId="77777777" w:rsidR="006A5EB3" w:rsidRDefault="00000000">
      <w:pPr>
        <w:jc w:val="right"/>
      </w:pPr>
      <w:r>
        <w:t>(Sándor, 2019)</w:t>
      </w:r>
    </w:p>
    <w:p w14:paraId="2D2A7868" w14:textId="77777777" w:rsidR="006A5EB3" w:rsidRDefault="00000000">
      <w:r>
        <w:t>Az általam vizsgált idősorok parciális autokorrelációs tesztjei a következőképpen néznek ki:</w:t>
      </w:r>
    </w:p>
    <w:p w14:paraId="5159EB26" w14:textId="77777777" w:rsidR="006A5EB3" w:rsidRDefault="00000000">
      <w:pPr>
        <w:keepNext/>
        <w:jc w:val="both"/>
      </w:pPr>
      <w:r>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67166" cy="1347495"/>
                    </a:xfrm>
                    <a:prstGeom prst="rect">
                      <a:avLst/>
                    </a:prstGeom>
                    <a:ln/>
                  </pic:spPr>
                </pic:pic>
              </a:graphicData>
            </a:graphic>
          </wp:inline>
        </w:drawing>
      </w:r>
    </w:p>
    <w:p w14:paraId="019EE195"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Elvégzett PACF tesztek a három megyére</w:t>
      </w:r>
    </w:p>
    <w:p w14:paraId="4740BD43" w14:textId="77777777" w:rsidR="006A5EB3" w:rsidRDefault="00000000">
      <w:pPr>
        <w:jc w:val="both"/>
      </w:pPr>
      <w:r>
        <w:t xml:space="preserve">Itt mindhárom megye esetében az látszik a PACF tesztek eredményein, hogy az első kettő lépésben az autokorrelációs érték </w:t>
      </w:r>
      <m:oMath>
        <m:r>
          <w:rPr>
            <w:rFonts w:ascii="Cambria Math" w:eastAsia="Cambria Math" w:hAnsi="Cambria Math" w:cs="Cambria Math"/>
          </w:rPr>
          <m:t xml:space="preserve">≈ </m:t>
        </m:r>
      </m:oMath>
      <w:r>
        <w:t>1, míg az összes többiben elhanyagolhatóak az autokorrelációs kapcsolatok, tehát valószínűleg AR(2) folyamatról beszélünk.</w:t>
      </w:r>
    </w:p>
    <w:p w14:paraId="19A98CA8" w14:textId="77777777" w:rsidR="006A5EB3" w:rsidRDefault="00000000">
      <w:pPr>
        <w:pStyle w:val="Title"/>
        <w:spacing w:line="360" w:lineRule="auto"/>
        <w:rPr>
          <w:sz w:val="24"/>
          <w:szCs w:val="24"/>
        </w:rPr>
      </w:pPr>
      <w:r>
        <w:rPr>
          <w:sz w:val="24"/>
          <w:szCs w:val="24"/>
        </w:rPr>
        <w:t>A grafikonok azt szemléltetik, hogy valószínűleg mindhárom megye esetében az AR(2) modellel érdemes próbálkozni az előrejelzéshez, viszont megnéztem még az ARMA(1, 1) és ARMA(1, 2) eseteket is, majd ezekből kiválasztottam a legkisebb AIC</w:t>
      </w:r>
      <w:r>
        <w:rPr>
          <w:sz w:val="24"/>
          <w:szCs w:val="24"/>
          <w:vertAlign w:val="superscript"/>
        </w:rPr>
        <w:footnoteReference w:id="2"/>
      </w:r>
      <w:r>
        <w:rPr>
          <w:sz w:val="24"/>
          <w:szCs w:val="24"/>
        </w:rPr>
        <w:t xml:space="preserve"> (Akaike Information Criterion) értékű modellt a Sándor (2019) alapján, mert valószínűleg ez a modell fog a legjobban illeszkedni az adott idősorra. A következő táblázatban összefoglalom, hogy a különböző modellekre milyen AIC értékeket kaptunk az egyes megyék esetében (a minimum AIC-k celláit beszíneztem):</w:t>
      </w:r>
    </w:p>
    <w:tbl>
      <w:tblPr>
        <w:tblStyle w:val="a4"/>
        <w:tblW w:w="5540" w:type="dxa"/>
        <w:jc w:val="center"/>
        <w:tblInd w:w="0" w:type="dxa"/>
        <w:tblLayout w:type="fixed"/>
        <w:tblLook w:val="0400" w:firstRow="0" w:lastRow="0" w:firstColumn="0" w:lastColumn="0" w:noHBand="0" w:noVBand="1"/>
      </w:tblPr>
      <w:tblGrid>
        <w:gridCol w:w="1420"/>
        <w:gridCol w:w="1180"/>
        <w:gridCol w:w="1420"/>
        <w:gridCol w:w="1520"/>
      </w:tblGrid>
      <w:tr w:rsidR="006A5EB3" w14:paraId="22B2055A" w14:textId="77777777">
        <w:trPr>
          <w:trHeight w:val="315"/>
          <w:jc w:val="center"/>
        </w:trPr>
        <w:tc>
          <w:tcPr>
            <w:tcW w:w="1420" w:type="dxa"/>
            <w:vMerge w:val="restart"/>
            <w:tcBorders>
              <w:top w:val="single" w:sz="8" w:space="0" w:color="000000"/>
              <w:left w:val="single" w:sz="8" w:space="0" w:color="000000"/>
              <w:right w:val="nil"/>
            </w:tcBorders>
            <w:shd w:val="clear" w:color="auto" w:fill="auto"/>
            <w:vAlign w:val="bottom"/>
          </w:tcPr>
          <w:p w14:paraId="1885DBC1" w14:textId="77777777" w:rsidR="006A5EB3"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Modell</w:t>
            </w:r>
          </w:p>
        </w:tc>
        <w:tc>
          <w:tcPr>
            <w:tcW w:w="412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14:paraId="624C42F8" w14:textId="77777777" w:rsidR="006A5EB3"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AIC</w:t>
            </w:r>
          </w:p>
        </w:tc>
      </w:tr>
      <w:tr w:rsidR="006A5EB3" w14:paraId="799D6F00" w14:textId="77777777">
        <w:trPr>
          <w:trHeight w:val="315"/>
          <w:jc w:val="center"/>
        </w:trPr>
        <w:tc>
          <w:tcPr>
            <w:tcW w:w="1420" w:type="dxa"/>
            <w:vMerge/>
            <w:tcBorders>
              <w:top w:val="single" w:sz="8" w:space="0" w:color="000000"/>
              <w:left w:val="single" w:sz="8" w:space="0" w:color="000000"/>
              <w:right w:val="nil"/>
            </w:tcBorders>
            <w:shd w:val="clear" w:color="auto" w:fill="auto"/>
            <w:vAlign w:val="bottom"/>
          </w:tcPr>
          <w:p w14:paraId="22841EB2" w14:textId="77777777" w:rsidR="006A5EB3" w:rsidRDefault="006A5EB3">
            <w:pPr>
              <w:widowControl w:val="0"/>
              <w:pBdr>
                <w:top w:val="nil"/>
                <w:left w:val="nil"/>
                <w:bottom w:val="nil"/>
                <w:right w:val="nil"/>
                <w:between w:val="nil"/>
              </w:pBdr>
              <w:spacing w:after="0" w:line="276" w:lineRule="auto"/>
              <w:rPr>
                <w:rFonts w:ascii="Calibri" w:eastAsia="Calibri" w:hAnsi="Calibri" w:cs="Calibri"/>
                <w:color w:val="000000"/>
                <w:sz w:val="22"/>
                <w:szCs w:val="22"/>
              </w:rPr>
            </w:pPr>
          </w:p>
        </w:tc>
        <w:tc>
          <w:tcPr>
            <w:tcW w:w="11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19A53B4" w14:textId="77777777" w:rsidR="006A5EB3"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Maros</w:t>
            </w:r>
          </w:p>
        </w:tc>
        <w:tc>
          <w:tcPr>
            <w:tcW w:w="1420" w:type="dxa"/>
            <w:tcBorders>
              <w:top w:val="single" w:sz="8" w:space="0" w:color="000000"/>
              <w:left w:val="nil"/>
              <w:bottom w:val="single" w:sz="8" w:space="0" w:color="000000"/>
              <w:right w:val="single" w:sz="8" w:space="0" w:color="000000"/>
            </w:tcBorders>
            <w:shd w:val="clear" w:color="auto" w:fill="auto"/>
            <w:vAlign w:val="center"/>
          </w:tcPr>
          <w:p w14:paraId="5889ED57" w14:textId="77777777" w:rsidR="006A5EB3"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Hargita </w:t>
            </w:r>
          </w:p>
        </w:tc>
        <w:tc>
          <w:tcPr>
            <w:tcW w:w="1520" w:type="dxa"/>
            <w:tcBorders>
              <w:top w:val="single" w:sz="8" w:space="0" w:color="000000"/>
              <w:left w:val="nil"/>
              <w:bottom w:val="single" w:sz="8" w:space="0" w:color="000000"/>
              <w:right w:val="single" w:sz="8" w:space="0" w:color="000000"/>
            </w:tcBorders>
            <w:shd w:val="clear" w:color="auto" w:fill="auto"/>
            <w:vAlign w:val="center"/>
          </w:tcPr>
          <w:p w14:paraId="3E63115A" w14:textId="77777777" w:rsidR="006A5EB3"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Kovászna </w:t>
            </w:r>
          </w:p>
        </w:tc>
      </w:tr>
      <w:tr w:rsidR="006A5EB3" w14:paraId="5371BA79" w14:textId="77777777">
        <w:trPr>
          <w:trHeight w:val="300"/>
          <w:jc w:val="center"/>
        </w:trPr>
        <w:tc>
          <w:tcPr>
            <w:tcW w:w="1420" w:type="dxa"/>
            <w:tcBorders>
              <w:top w:val="nil"/>
              <w:left w:val="single" w:sz="8" w:space="0" w:color="000000"/>
              <w:bottom w:val="nil"/>
              <w:right w:val="nil"/>
            </w:tcBorders>
            <w:shd w:val="clear" w:color="auto" w:fill="auto"/>
            <w:vAlign w:val="center"/>
          </w:tcPr>
          <w:p w14:paraId="27B853E1" w14:textId="77777777" w:rsidR="006A5EB3" w:rsidRDefault="00000000">
            <w:pPr>
              <w:spacing w:after="0" w:line="240" w:lineRule="auto"/>
              <w:rPr>
                <w:color w:val="000000"/>
                <w:sz w:val="22"/>
                <w:szCs w:val="22"/>
              </w:rPr>
            </w:pPr>
            <w:r>
              <w:rPr>
                <w:color w:val="000000"/>
                <w:sz w:val="22"/>
                <w:szCs w:val="22"/>
              </w:rPr>
              <w:t>AR (1)</w:t>
            </w:r>
          </w:p>
        </w:tc>
        <w:tc>
          <w:tcPr>
            <w:tcW w:w="1180" w:type="dxa"/>
            <w:tcBorders>
              <w:top w:val="nil"/>
              <w:left w:val="single" w:sz="8" w:space="0" w:color="000000"/>
              <w:bottom w:val="nil"/>
              <w:right w:val="single" w:sz="8" w:space="0" w:color="000000"/>
            </w:tcBorders>
            <w:shd w:val="clear" w:color="auto" w:fill="auto"/>
            <w:vAlign w:val="center"/>
          </w:tcPr>
          <w:p w14:paraId="6576A266" w14:textId="77777777" w:rsidR="006A5EB3" w:rsidRDefault="00000000">
            <w:pPr>
              <w:spacing w:after="0" w:line="240" w:lineRule="auto"/>
              <w:jc w:val="right"/>
              <w:rPr>
                <w:color w:val="000000"/>
                <w:sz w:val="22"/>
                <w:szCs w:val="22"/>
              </w:rPr>
            </w:pPr>
            <w:r>
              <w:rPr>
                <w:color w:val="000000"/>
                <w:sz w:val="22"/>
                <w:szCs w:val="22"/>
              </w:rPr>
              <w:t> 9.65</w:t>
            </w:r>
          </w:p>
        </w:tc>
        <w:tc>
          <w:tcPr>
            <w:tcW w:w="1420" w:type="dxa"/>
            <w:tcBorders>
              <w:top w:val="nil"/>
              <w:left w:val="nil"/>
              <w:bottom w:val="nil"/>
              <w:right w:val="single" w:sz="8" w:space="0" w:color="000000"/>
            </w:tcBorders>
            <w:shd w:val="clear" w:color="auto" w:fill="auto"/>
            <w:vAlign w:val="center"/>
          </w:tcPr>
          <w:p w14:paraId="1340FDB9" w14:textId="77777777" w:rsidR="006A5EB3" w:rsidRDefault="00000000">
            <w:pPr>
              <w:spacing w:after="0" w:line="240" w:lineRule="auto"/>
              <w:jc w:val="right"/>
              <w:rPr>
                <w:color w:val="000000"/>
                <w:sz w:val="22"/>
                <w:szCs w:val="22"/>
              </w:rPr>
            </w:pPr>
            <w:r>
              <w:rPr>
                <w:color w:val="000000"/>
                <w:sz w:val="22"/>
                <w:szCs w:val="22"/>
              </w:rPr>
              <w:t>128.96 </w:t>
            </w:r>
          </w:p>
        </w:tc>
        <w:tc>
          <w:tcPr>
            <w:tcW w:w="1520" w:type="dxa"/>
            <w:tcBorders>
              <w:top w:val="nil"/>
              <w:left w:val="nil"/>
              <w:bottom w:val="nil"/>
              <w:right w:val="single" w:sz="8" w:space="0" w:color="000000"/>
            </w:tcBorders>
            <w:shd w:val="clear" w:color="auto" w:fill="auto"/>
            <w:vAlign w:val="center"/>
          </w:tcPr>
          <w:p w14:paraId="3F524D71" w14:textId="77777777" w:rsidR="006A5EB3" w:rsidRDefault="00000000">
            <w:pPr>
              <w:spacing w:after="0" w:line="240" w:lineRule="auto"/>
              <w:rPr>
                <w:color w:val="000000"/>
                <w:sz w:val="22"/>
                <w:szCs w:val="22"/>
              </w:rPr>
            </w:pPr>
            <w:r>
              <w:rPr>
                <w:color w:val="000000"/>
                <w:sz w:val="22"/>
                <w:szCs w:val="22"/>
              </w:rPr>
              <w:t> 123.91</w:t>
            </w:r>
          </w:p>
        </w:tc>
      </w:tr>
      <w:tr w:rsidR="006A5EB3" w14:paraId="557C0558" w14:textId="77777777">
        <w:trPr>
          <w:trHeight w:val="300"/>
          <w:jc w:val="center"/>
        </w:trPr>
        <w:tc>
          <w:tcPr>
            <w:tcW w:w="1420" w:type="dxa"/>
            <w:tcBorders>
              <w:top w:val="nil"/>
              <w:left w:val="single" w:sz="8" w:space="0" w:color="000000"/>
              <w:bottom w:val="nil"/>
              <w:right w:val="nil"/>
            </w:tcBorders>
            <w:shd w:val="clear" w:color="auto" w:fill="auto"/>
            <w:vAlign w:val="center"/>
          </w:tcPr>
          <w:p w14:paraId="4D0B864E" w14:textId="77777777" w:rsidR="006A5EB3" w:rsidRDefault="00000000">
            <w:pPr>
              <w:spacing w:after="0" w:line="240" w:lineRule="auto"/>
              <w:rPr>
                <w:color w:val="000000"/>
                <w:sz w:val="22"/>
                <w:szCs w:val="22"/>
              </w:rPr>
            </w:pPr>
            <w:r>
              <w:rPr>
                <w:color w:val="000000"/>
                <w:sz w:val="22"/>
                <w:szCs w:val="22"/>
              </w:rPr>
              <w:t>AR (2)</w:t>
            </w:r>
          </w:p>
        </w:tc>
        <w:tc>
          <w:tcPr>
            <w:tcW w:w="1180" w:type="dxa"/>
            <w:tcBorders>
              <w:top w:val="nil"/>
              <w:left w:val="single" w:sz="8" w:space="0" w:color="000000"/>
              <w:bottom w:val="nil"/>
              <w:right w:val="single" w:sz="8" w:space="0" w:color="000000"/>
            </w:tcBorders>
            <w:shd w:val="clear" w:color="auto" w:fill="FFF2CC"/>
            <w:vAlign w:val="center"/>
          </w:tcPr>
          <w:p w14:paraId="4E2C29B7" w14:textId="77777777" w:rsidR="006A5EB3" w:rsidRDefault="00000000">
            <w:pPr>
              <w:spacing w:after="0" w:line="240" w:lineRule="auto"/>
              <w:jc w:val="right"/>
              <w:rPr>
                <w:color w:val="000000"/>
                <w:sz w:val="22"/>
                <w:szCs w:val="22"/>
              </w:rPr>
            </w:pPr>
            <w:r>
              <w:rPr>
                <w:color w:val="000000"/>
                <w:sz w:val="22"/>
                <w:szCs w:val="22"/>
              </w:rPr>
              <w:t> 1.59</w:t>
            </w:r>
          </w:p>
        </w:tc>
        <w:tc>
          <w:tcPr>
            <w:tcW w:w="1420" w:type="dxa"/>
            <w:tcBorders>
              <w:top w:val="nil"/>
              <w:left w:val="nil"/>
              <w:bottom w:val="nil"/>
              <w:right w:val="single" w:sz="8" w:space="0" w:color="000000"/>
            </w:tcBorders>
            <w:shd w:val="clear" w:color="auto" w:fill="auto"/>
            <w:vAlign w:val="center"/>
          </w:tcPr>
          <w:p w14:paraId="0F4920FC" w14:textId="77777777" w:rsidR="006A5EB3" w:rsidRDefault="00000000">
            <w:pPr>
              <w:spacing w:after="0" w:line="240" w:lineRule="auto"/>
              <w:jc w:val="right"/>
              <w:rPr>
                <w:color w:val="000000"/>
                <w:sz w:val="22"/>
                <w:szCs w:val="22"/>
              </w:rPr>
            </w:pPr>
            <w:r>
              <w:rPr>
                <w:color w:val="000000"/>
                <w:sz w:val="22"/>
                <w:szCs w:val="22"/>
              </w:rPr>
              <w:t>114.34</w:t>
            </w:r>
          </w:p>
        </w:tc>
        <w:tc>
          <w:tcPr>
            <w:tcW w:w="1520" w:type="dxa"/>
            <w:tcBorders>
              <w:top w:val="nil"/>
              <w:left w:val="nil"/>
              <w:bottom w:val="nil"/>
              <w:right w:val="single" w:sz="8" w:space="0" w:color="000000"/>
            </w:tcBorders>
            <w:shd w:val="clear" w:color="auto" w:fill="auto"/>
            <w:vAlign w:val="center"/>
          </w:tcPr>
          <w:p w14:paraId="03830C50" w14:textId="77777777" w:rsidR="006A5EB3" w:rsidRDefault="00000000">
            <w:pPr>
              <w:spacing w:after="0" w:line="240" w:lineRule="auto"/>
              <w:rPr>
                <w:color w:val="000000"/>
                <w:sz w:val="22"/>
                <w:szCs w:val="22"/>
              </w:rPr>
            </w:pPr>
            <w:r>
              <w:rPr>
                <w:color w:val="000000"/>
                <w:sz w:val="22"/>
                <w:szCs w:val="22"/>
              </w:rPr>
              <w:t> 124.09</w:t>
            </w:r>
          </w:p>
        </w:tc>
      </w:tr>
      <w:tr w:rsidR="006A5EB3" w14:paraId="03DBD1D3" w14:textId="77777777">
        <w:trPr>
          <w:trHeight w:val="300"/>
          <w:jc w:val="center"/>
        </w:trPr>
        <w:tc>
          <w:tcPr>
            <w:tcW w:w="1420" w:type="dxa"/>
            <w:tcBorders>
              <w:top w:val="nil"/>
              <w:left w:val="single" w:sz="8" w:space="0" w:color="000000"/>
              <w:bottom w:val="nil"/>
              <w:right w:val="nil"/>
            </w:tcBorders>
            <w:shd w:val="clear" w:color="auto" w:fill="auto"/>
            <w:vAlign w:val="center"/>
          </w:tcPr>
          <w:p w14:paraId="11E5E839" w14:textId="77777777" w:rsidR="006A5EB3" w:rsidRDefault="00000000">
            <w:pPr>
              <w:spacing w:after="0" w:line="240" w:lineRule="auto"/>
              <w:rPr>
                <w:color w:val="000000"/>
                <w:sz w:val="22"/>
                <w:szCs w:val="22"/>
              </w:rPr>
            </w:pPr>
            <w:r>
              <w:rPr>
                <w:color w:val="000000"/>
                <w:sz w:val="22"/>
                <w:szCs w:val="22"/>
              </w:rPr>
              <w:t>ARMA (1,1)</w:t>
            </w:r>
          </w:p>
        </w:tc>
        <w:tc>
          <w:tcPr>
            <w:tcW w:w="1180" w:type="dxa"/>
            <w:tcBorders>
              <w:top w:val="nil"/>
              <w:left w:val="single" w:sz="8" w:space="0" w:color="000000"/>
              <w:bottom w:val="nil"/>
              <w:right w:val="single" w:sz="8" w:space="0" w:color="000000"/>
            </w:tcBorders>
            <w:shd w:val="clear" w:color="auto" w:fill="auto"/>
            <w:vAlign w:val="center"/>
          </w:tcPr>
          <w:p w14:paraId="3C0A91B9" w14:textId="77777777" w:rsidR="006A5EB3" w:rsidRDefault="00000000">
            <w:pPr>
              <w:spacing w:after="0" w:line="240" w:lineRule="auto"/>
              <w:jc w:val="right"/>
              <w:rPr>
                <w:color w:val="000000"/>
                <w:sz w:val="22"/>
                <w:szCs w:val="22"/>
              </w:rPr>
            </w:pPr>
            <w:r>
              <w:rPr>
                <w:color w:val="000000"/>
                <w:sz w:val="22"/>
                <w:szCs w:val="22"/>
              </w:rPr>
              <w:t> 2.15</w:t>
            </w:r>
          </w:p>
        </w:tc>
        <w:tc>
          <w:tcPr>
            <w:tcW w:w="1420" w:type="dxa"/>
            <w:tcBorders>
              <w:top w:val="nil"/>
              <w:left w:val="nil"/>
              <w:bottom w:val="nil"/>
              <w:right w:val="single" w:sz="8" w:space="0" w:color="000000"/>
            </w:tcBorders>
            <w:shd w:val="clear" w:color="auto" w:fill="auto"/>
            <w:vAlign w:val="center"/>
          </w:tcPr>
          <w:p w14:paraId="7C8536D4" w14:textId="77777777" w:rsidR="006A5EB3" w:rsidRDefault="00000000">
            <w:pPr>
              <w:spacing w:after="0" w:line="240" w:lineRule="auto"/>
              <w:jc w:val="right"/>
              <w:rPr>
                <w:color w:val="000000"/>
                <w:sz w:val="22"/>
                <w:szCs w:val="22"/>
              </w:rPr>
            </w:pPr>
            <w:r>
              <w:rPr>
                <w:color w:val="000000"/>
                <w:sz w:val="22"/>
                <w:szCs w:val="22"/>
              </w:rPr>
              <w:t>116.51</w:t>
            </w:r>
          </w:p>
        </w:tc>
        <w:tc>
          <w:tcPr>
            <w:tcW w:w="1520" w:type="dxa"/>
            <w:tcBorders>
              <w:top w:val="nil"/>
              <w:left w:val="nil"/>
              <w:bottom w:val="nil"/>
              <w:right w:val="single" w:sz="8" w:space="0" w:color="000000"/>
            </w:tcBorders>
            <w:shd w:val="clear" w:color="auto" w:fill="FFF2CC"/>
            <w:vAlign w:val="center"/>
          </w:tcPr>
          <w:p w14:paraId="1D954DF1" w14:textId="77777777" w:rsidR="006A5EB3" w:rsidRDefault="00000000">
            <w:pPr>
              <w:spacing w:after="0" w:line="240" w:lineRule="auto"/>
              <w:rPr>
                <w:color w:val="000000"/>
                <w:sz w:val="22"/>
                <w:szCs w:val="22"/>
              </w:rPr>
            </w:pPr>
            <w:r>
              <w:rPr>
                <w:color w:val="000000"/>
                <w:sz w:val="22"/>
                <w:szCs w:val="22"/>
              </w:rPr>
              <w:t> 123.70</w:t>
            </w:r>
          </w:p>
        </w:tc>
      </w:tr>
      <w:tr w:rsidR="006A5EB3" w14:paraId="59804FC1" w14:textId="77777777">
        <w:trPr>
          <w:trHeight w:val="315"/>
          <w:jc w:val="center"/>
        </w:trPr>
        <w:tc>
          <w:tcPr>
            <w:tcW w:w="1420" w:type="dxa"/>
            <w:tcBorders>
              <w:top w:val="nil"/>
              <w:left w:val="single" w:sz="8" w:space="0" w:color="000000"/>
              <w:bottom w:val="single" w:sz="4" w:space="0" w:color="000000"/>
              <w:right w:val="nil"/>
            </w:tcBorders>
            <w:shd w:val="clear" w:color="auto" w:fill="auto"/>
            <w:vAlign w:val="center"/>
          </w:tcPr>
          <w:p w14:paraId="230D32C4" w14:textId="77777777" w:rsidR="006A5EB3" w:rsidRDefault="00000000">
            <w:pPr>
              <w:spacing w:after="0" w:line="240" w:lineRule="auto"/>
              <w:rPr>
                <w:color w:val="000000"/>
                <w:sz w:val="22"/>
                <w:szCs w:val="22"/>
              </w:rPr>
            </w:pPr>
            <w:r>
              <w:rPr>
                <w:color w:val="000000"/>
                <w:sz w:val="22"/>
                <w:szCs w:val="22"/>
              </w:rPr>
              <w:t>ARMA (1,2)</w:t>
            </w:r>
          </w:p>
        </w:tc>
        <w:tc>
          <w:tcPr>
            <w:tcW w:w="1180" w:type="dxa"/>
            <w:tcBorders>
              <w:top w:val="nil"/>
              <w:left w:val="single" w:sz="8" w:space="0" w:color="000000"/>
              <w:bottom w:val="single" w:sz="4" w:space="0" w:color="000000"/>
              <w:right w:val="single" w:sz="8" w:space="0" w:color="000000"/>
            </w:tcBorders>
            <w:shd w:val="clear" w:color="auto" w:fill="auto"/>
            <w:vAlign w:val="center"/>
          </w:tcPr>
          <w:p w14:paraId="4C615C00" w14:textId="77777777" w:rsidR="006A5EB3" w:rsidRDefault="00000000">
            <w:pPr>
              <w:spacing w:after="0" w:line="240" w:lineRule="auto"/>
              <w:jc w:val="right"/>
              <w:rPr>
                <w:color w:val="000000"/>
                <w:sz w:val="22"/>
                <w:szCs w:val="22"/>
              </w:rPr>
            </w:pPr>
            <w:r>
              <w:rPr>
                <w:color w:val="000000"/>
                <w:sz w:val="22"/>
                <w:szCs w:val="22"/>
              </w:rPr>
              <w:t> 3.81</w:t>
            </w:r>
          </w:p>
        </w:tc>
        <w:tc>
          <w:tcPr>
            <w:tcW w:w="1420" w:type="dxa"/>
            <w:tcBorders>
              <w:top w:val="nil"/>
              <w:left w:val="nil"/>
              <w:bottom w:val="single" w:sz="4" w:space="0" w:color="000000"/>
              <w:right w:val="single" w:sz="8" w:space="0" w:color="000000"/>
            </w:tcBorders>
            <w:shd w:val="clear" w:color="auto" w:fill="FFF2CC"/>
            <w:vAlign w:val="center"/>
          </w:tcPr>
          <w:p w14:paraId="4E133AD3" w14:textId="77777777" w:rsidR="006A5EB3" w:rsidRDefault="00000000">
            <w:pPr>
              <w:spacing w:after="0" w:line="240" w:lineRule="auto"/>
              <w:jc w:val="right"/>
              <w:rPr>
                <w:color w:val="000000"/>
                <w:sz w:val="22"/>
                <w:szCs w:val="22"/>
              </w:rPr>
            </w:pPr>
            <w:r>
              <w:rPr>
                <w:color w:val="000000"/>
                <w:sz w:val="22"/>
                <w:szCs w:val="22"/>
              </w:rPr>
              <w:t>113.73</w:t>
            </w:r>
          </w:p>
        </w:tc>
        <w:tc>
          <w:tcPr>
            <w:tcW w:w="1520" w:type="dxa"/>
            <w:tcBorders>
              <w:top w:val="nil"/>
              <w:left w:val="nil"/>
              <w:bottom w:val="single" w:sz="4" w:space="0" w:color="000000"/>
              <w:right w:val="single" w:sz="8" w:space="0" w:color="000000"/>
            </w:tcBorders>
            <w:shd w:val="clear" w:color="auto" w:fill="auto"/>
            <w:vAlign w:val="center"/>
          </w:tcPr>
          <w:p w14:paraId="52C48DCA" w14:textId="77777777" w:rsidR="006A5EB3" w:rsidRDefault="00000000">
            <w:pPr>
              <w:spacing w:after="0" w:line="240" w:lineRule="auto"/>
              <w:rPr>
                <w:color w:val="000000"/>
                <w:sz w:val="22"/>
                <w:szCs w:val="22"/>
              </w:rPr>
            </w:pPr>
            <w:r>
              <w:rPr>
                <w:color w:val="000000"/>
                <w:sz w:val="22"/>
                <w:szCs w:val="22"/>
              </w:rPr>
              <w:t> 124.86</w:t>
            </w:r>
          </w:p>
        </w:tc>
      </w:tr>
    </w:tbl>
    <w:p w14:paraId="2A8082FF"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 A lefuttatott modell tesztek eredményei</w:t>
      </w:r>
    </w:p>
    <w:p w14:paraId="1F2E28FC" w14:textId="77777777" w:rsidR="006A5EB3" w:rsidRDefault="00000000">
      <w:pPr>
        <w:jc w:val="both"/>
      </w:pPr>
      <w:r>
        <w:t xml:space="preserve">Azt látjuk, hogy az előrejelzéseknél Maros megyénél AR(2), viszont Hargitánál ARMA(1, 2), míg Kovászna megyénél ARMA(1, 1) modellt érdemes használni, nem az AR(2)-t. </w:t>
      </w:r>
    </w:p>
    <w:p w14:paraId="48E715CD" w14:textId="77777777" w:rsidR="006A5EB3" w:rsidRDefault="00000000">
      <w:pPr>
        <w:pStyle w:val="Heading2"/>
      </w:pPr>
      <w:bookmarkStart w:id="12" w:name="_heading=h.26in1rg" w:colFirst="0" w:colLast="0"/>
      <w:bookmarkEnd w:id="12"/>
      <w:r>
        <w:lastRenderedPageBreak/>
        <w:t>3.3 Előrejelzés pontosságának meghatározása a hibatesztek alapján</w:t>
      </w:r>
    </w:p>
    <w:p w14:paraId="643C3389" w14:textId="77777777" w:rsidR="006A5EB3" w:rsidRDefault="00000000">
      <w:pPr>
        <w:jc w:val="both"/>
      </w:pPr>
      <w:r>
        <w:t>Az adatforrásból szándékosa meghagytam a legfrissebb 10 bejegyzést, hogy az egyes modellek becsléseinek hibáit meg tudjam állapítani a valódi adatokhoz képest.</w:t>
      </w:r>
    </w:p>
    <w:tbl>
      <w:tblPr>
        <w:tblStyle w:val="a5"/>
        <w:tblW w:w="8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123"/>
        <w:gridCol w:w="2123"/>
        <w:gridCol w:w="2124"/>
      </w:tblGrid>
      <w:tr w:rsidR="006A5EB3" w14:paraId="6858FEC9" w14:textId="77777777">
        <w:trPr>
          <w:trHeight w:val="197"/>
          <w:jc w:val="center"/>
        </w:trPr>
        <w:tc>
          <w:tcPr>
            <w:tcW w:w="2123" w:type="dxa"/>
          </w:tcPr>
          <w:p w14:paraId="7491F558" w14:textId="77777777" w:rsidR="006A5EB3" w:rsidRDefault="006A5EB3">
            <w:pPr>
              <w:spacing w:line="276" w:lineRule="auto"/>
              <w:jc w:val="center"/>
              <w:rPr>
                <w:sz w:val="22"/>
                <w:szCs w:val="22"/>
              </w:rPr>
            </w:pPr>
          </w:p>
        </w:tc>
        <w:tc>
          <w:tcPr>
            <w:tcW w:w="2123" w:type="dxa"/>
          </w:tcPr>
          <w:p w14:paraId="1E7E245C" w14:textId="77777777" w:rsidR="006A5EB3" w:rsidRDefault="00000000">
            <w:pPr>
              <w:spacing w:line="276" w:lineRule="auto"/>
              <w:jc w:val="center"/>
              <w:rPr>
                <w:sz w:val="22"/>
                <w:szCs w:val="22"/>
              </w:rPr>
            </w:pPr>
            <w:r>
              <w:rPr>
                <w:sz w:val="22"/>
                <w:szCs w:val="22"/>
              </w:rPr>
              <w:t>Kovászna</w:t>
            </w:r>
          </w:p>
        </w:tc>
        <w:tc>
          <w:tcPr>
            <w:tcW w:w="2123" w:type="dxa"/>
          </w:tcPr>
          <w:p w14:paraId="6845ACC5" w14:textId="77777777" w:rsidR="006A5EB3" w:rsidRDefault="00000000">
            <w:pPr>
              <w:spacing w:line="276" w:lineRule="auto"/>
              <w:jc w:val="center"/>
              <w:rPr>
                <w:sz w:val="22"/>
                <w:szCs w:val="22"/>
              </w:rPr>
            </w:pPr>
            <w:r>
              <w:rPr>
                <w:sz w:val="22"/>
                <w:szCs w:val="22"/>
              </w:rPr>
              <w:t>Hargita</w:t>
            </w:r>
          </w:p>
        </w:tc>
        <w:tc>
          <w:tcPr>
            <w:tcW w:w="2124" w:type="dxa"/>
          </w:tcPr>
          <w:p w14:paraId="5401E91E" w14:textId="77777777" w:rsidR="006A5EB3" w:rsidRDefault="00000000">
            <w:pPr>
              <w:spacing w:line="276" w:lineRule="auto"/>
              <w:jc w:val="center"/>
              <w:rPr>
                <w:sz w:val="22"/>
                <w:szCs w:val="22"/>
              </w:rPr>
            </w:pPr>
            <w:r>
              <w:rPr>
                <w:sz w:val="22"/>
                <w:szCs w:val="22"/>
              </w:rPr>
              <w:t>Maros</w:t>
            </w:r>
          </w:p>
        </w:tc>
      </w:tr>
      <w:tr w:rsidR="006A5EB3" w14:paraId="3B291169" w14:textId="77777777">
        <w:trPr>
          <w:trHeight w:val="197"/>
          <w:jc w:val="center"/>
        </w:trPr>
        <w:tc>
          <w:tcPr>
            <w:tcW w:w="2123" w:type="dxa"/>
          </w:tcPr>
          <w:p w14:paraId="39334B86" w14:textId="77777777" w:rsidR="006A5EB3" w:rsidRDefault="00000000">
            <w:pPr>
              <w:spacing w:line="276" w:lineRule="auto"/>
              <w:rPr>
                <w:sz w:val="22"/>
                <w:szCs w:val="22"/>
              </w:rPr>
            </w:pPr>
            <w:r>
              <w:rPr>
                <w:sz w:val="22"/>
                <w:szCs w:val="22"/>
              </w:rPr>
              <w:t>2022 október</w:t>
            </w:r>
          </w:p>
        </w:tc>
        <w:tc>
          <w:tcPr>
            <w:tcW w:w="2123" w:type="dxa"/>
          </w:tcPr>
          <w:p w14:paraId="7FE519BC" w14:textId="77777777" w:rsidR="006A5EB3" w:rsidRDefault="00000000">
            <w:pPr>
              <w:spacing w:line="276" w:lineRule="auto"/>
              <w:rPr>
                <w:sz w:val="22"/>
                <w:szCs w:val="22"/>
              </w:rPr>
            </w:pPr>
            <w:r>
              <w:rPr>
                <w:sz w:val="22"/>
                <w:szCs w:val="22"/>
              </w:rPr>
              <w:t>4,2</w:t>
            </w:r>
          </w:p>
        </w:tc>
        <w:tc>
          <w:tcPr>
            <w:tcW w:w="2123" w:type="dxa"/>
          </w:tcPr>
          <w:p w14:paraId="13193B22" w14:textId="77777777" w:rsidR="006A5EB3" w:rsidRDefault="00000000">
            <w:pPr>
              <w:spacing w:line="276" w:lineRule="auto"/>
              <w:rPr>
                <w:sz w:val="22"/>
                <w:szCs w:val="22"/>
              </w:rPr>
            </w:pPr>
            <w:r>
              <w:rPr>
                <w:sz w:val="22"/>
                <w:szCs w:val="22"/>
              </w:rPr>
              <w:t>4,2</w:t>
            </w:r>
          </w:p>
        </w:tc>
        <w:tc>
          <w:tcPr>
            <w:tcW w:w="2124" w:type="dxa"/>
          </w:tcPr>
          <w:p w14:paraId="49FE4850" w14:textId="77777777" w:rsidR="006A5EB3" w:rsidRDefault="00000000">
            <w:pPr>
              <w:spacing w:line="276" w:lineRule="auto"/>
              <w:rPr>
                <w:sz w:val="22"/>
                <w:szCs w:val="22"/>
              </w:rPr>
            </w:pPr>
            <w:r>
              <w:rPr>
                <w:sz w:val="22"/>
                <w:szCs w:val="22"/>
              </w:rPr>
              <w:t>3,1</w:t>
            </w:r>
          </w:p>
        </w:tc>
      </w:tr>
      <w:tr w:rsidR="006A5EB3" w14:paraId="002E22C1" w14:textId="77777777">
        <w:trPr>
          <w:trHeight w:val="403"/>
          <w:jc w:val="center"/>
        </w:trPr>
        <w:tc>
          <w:tcPr>
            <w:tcW w:w="2123" w:type="dxa"/>
          </w:tcPr>
          <w:p w14:paraId="318DB5A6" w14:textId="77777777" w:rsidR="006A5EB3" w:rsidRDefault="00000000">
            <w:pPr>
              <w:spacing w:line="276" w:lineRule="auto"/>
              <w:rPr>
                <w:sz w:val="22"/>
                <w:szCs w:val="22"/>
              </w:rPr>
            </w:pPr>
            <w:r>
              <w:rPr>
                <w:sz w:val="22"/>
                <w:szCs w:val="22"/>
              </w:rPr>
              <w:t>2022 november</w:t>
            </w:r>
          </w:p>
        </w:tc>
        <w:tc>
          <w:tcPr>
            <w:tcW w:w="2123" w:type="dxa"/>
          </w:tcPr>
          <w:p w14:paraId="247E663E" w14:textId="77777777" w:rsidR="006A5EB3" w:rsidRDefault="00000000">
            <w:pPr>
              <w:spacing w:line="276" w:lineRule="auto"/>
              <w:rPr>
                <w:sz w:val="22"/>
                <w:szCs w:val="22"/>
              </w:rPr>
            </w:pPr>
            <w:r>
              <w:rPr>
                <w:sz w:val="22"/>
                <w:szCs w:val="22"/>
              </w:rPr>
              <w:t>4,1</w:t>
            </w:r>
          </w:p>
        </w:tc>
        <w:tc>
          <w:tcPr>
            <w:tcW w:w="2123" w:type="dxa"/>
          </w:tcPr>
          <w:p w14:paraId="20251033" w14:textId="77777777" w:rsidR="006A5EB3" w:rsidRDefault="00000000">
            <w:pPr>
              <w:spacing w:line="276" w:lineRule="auto"/>
              <w:rPr>
                <w:sz w:val="22"/>
                <w:szCs w:val="22"/>
              </w:rPr>
            </w:pPr>
            <w:r>
              <w:rPr>
                <w:sz w:val="22"/>
                <w:szCs w:val="22"/>
              </w:rPr>
              <w:t>4,4</w:t>
            </w:r>
          </w:p>
        </w:tc>
        <w:tc>
          <w:tcPr>
            <w:tcW w:w="2124" w:type="dxa"/>
          </w:tcPr>
          <w:p w14:paraId="48EB266E" w14:textId="77777777" w:rsidR="006A5EB3" w:rsidRDefault="00000000">
            <w:pPr>
              <w:spacing w:line="276" w:lineRule="auto"/>
              <w:rPr>
                <w:sz w:val="22"/>
                <w:szCs w:val="22"/>
              </w:rPr>
            </w:pPr>
            <w:r>
              <w:rPr>
                <w:sz w:val="22"/>
                <w:szCs w:val="22"/>
              </w:rPr>
              <w:t>3,2</w:t>
            </w:r>
          </w:p>
        </w:tc>
      </w:tr>
      <w:tr w:rsidR="006A5EB3" w14:paraId="773F7631" w14:textId="77777777">
        <w:trPr>
          <w:trHeight w:val="403"/>
          <w:jc w:val="center"/>
        </w:trPr>
        <w:tc>
          <w:tcPr>
            <w:tcW w:w="2123" w:type="dxa"/>
          </w:tcPr>
          <w:p w14:paraId="04F802F6" w14:textId="77777777" w:rsidR="006A5EB3" w:rsidRDefault="00000000">
            <w:pPr>
              <w:spacing w:line="276" w:lineRule="auto"/>
              <w:rPr>
                <w:sz w:val="22"/>
                <w:szCs w:val="22"/>
              </w:rPr>
            </w:pPr>
            <w:r>
              <w:rPr>
                <w:sz w:val="22"/>
                <w:szCs w:val="22"/>
              </w:rPr>
              <w:t>2022 december</w:t>
            </w:r>
          </w:p>
        </w:tc>
        <w:tc>
          <w:tcPr>
            <w:tcW w:w="2123" w:type="dxa"/>
          </w:tcPr>
          <w:p w14:paraId="3996375D" w14:textId="77777777" w:rsidR="006A5EB3" w:rsidRDefault="00000000">
            <w:pPr>
              <w:spacing w:line="276" w:lineRule="auto"/>
              <w:rPr>
                <w:sz w:val="22"/>
                <w:szCs w:val="22"/>
              </w:rPr>
            </w:pPr>
            <w:r>
              <w:rPr>
                <w:sz w:val="22"/>
                <w:szCs w:val="22"/>
              </w:rPr>
              <w:t>4</w:t>
            </w:r>
          </w:p>
        </w:tc>
        <w:tc>
          <w:tcPr>
            <w:tcW w:w="2123" w:type="dxa"/>
          </w:tcPr>
          <w:p w14:paraId="52D6C223" w14:textId="77777777" w:rsidR="006A5EB3" w:rsidRDefault="00000000">
            <w:pPr>
              <w:spacing w:line="276" w:lineRule="auto"/>
              <w:rPr>
                <w:sz w:val="22"/>
                <w:szCs w:val="22"/>
              </w:rPr>
            </w:pPr>
            <w:r>
              <w:rPr>
                <w:sz w:val="22"/>
                <w:szCs w:val="22"/>
              </w:rPr>
              <w:t>4,4</w:t>
            </w:r>
          </w:p>
        </w:tc>
        <w:tc>
          <w:tcPr>
            <w:tcW w:w="2124" w:type="dxa"/>
          </w:tcPr>
          <w:p w14:paraId="13E29A20" w14:textId="77777777" w:rsidR="006A5EB3" w:rsidRDefault="00000000">
            <w:pPr>
              <w:spacing w:line="276" w:lineRule="auto"/>
              <w:rPr>
                <w:sz w:val="22"/>
                <w:szCs w:val="22"/>
              </w:rPr>
            </w:pPr>
            <w:r>
              <w:rPr>
                <w:sz w:val="22"/>
                <w:szCs w:val="22"/>
              </w:rPr>
              <w:t>3,2</w:t>
            </w:r>
          </w:p>
        </w:tc>
      </w:tr>
      <w:tr w:rsidR="006A5EB3" w14:paraId="159AE7DD" w14:textId="77777777">
        <w:trPr>
          <w:trHeight w:val="204"/>
          <w:jc w:val="center"/>
        </w:trPr>
        <w:tc>
          <w:tcPr>
            <w:tcW w:w="2123" w:type="dxa"/>
          </w:tcPr>
          <w:p w14:paraId="58A63B52" w14:textId="77777777" w:rsidR="006A5EB3" w:rsidRDefault="00000000">
            <w:pPr>
              <w:spacing w:line="276" w:lineRule="auto"/>
              <w:rPr>
                <w:sz w:val="22"/>
                <w:szCs w:val="22"/>
              </w:rPr>
            </w:pPr>
            <w:r>
              <w:rPr>
                <w:sz w:val="22"/>
                <w:szCs w:val="22"/>
              </w:rPr>
              <w:t>2023 január</w:t>
            </w:r>
          </w:p>
        </w:tc>
        <w:tc>
          <w:tcPr>
            <w:tcW w:w="2123" w:type="dxa"/>
          </w:tcPr>
          <w:p w14:paraId="7C3EAD00" w14:textId="77777777" w:rsidR="006A5EB3" w:rsidRDefault="00000000">
            <w:pPr>
              <w:spacing w:line="276" w:lineRule="auto"/>
              <w:rPr>
                <w:sz w:val="22"/>
                <w:szCs w:val="22"/>
              </w:rPr>
            </w:pPr>
            <w:r>
              <w:rPr>
                <w:sz w:val="22"/>
                <w:szCs w:val="22"/>
              </w:rPr>
              <w:t>3,8</w:t>
            </w:r>
          </w:p>
        </w:tc>
        <w:tc>
          <w:tcPr>
            <w:tcW w:w="2123" w:type="dxa"/>
          </w:tcPr>
          <w:p w14:paraId="0B7FCEA4" w14:textId="77777777" w:rsidR="006A5EB3" w:rsidRDefault="00000000">
            <w:pPr>
              <w:spacing w:line="276" w:lineRule="auto"/>
              <w:rPr>
                <w:sz w:val="22"/>
                <w:szCs w:val="22"/>
              </w:rPr>
            </w:pPr>
            <w:r>
              <w:rPr>
                <w:sz w:val="22"/>
                <w:szCs w:val="22"/>
              </w:rPr>
              <w:t>4,5</w:t>
            </w:r>
          </w:p>
        </w:tc>
        <w:tc>
          <w:tcPr>
            <w:tcW w:w="2124" w:type="dxa"/>
          </w:tcPr>
          <w:p w14:paraId="412723F3" w14:textId="77777777" w:rsidR="006A5EB3" w:rsidRDefault="00000000">
            <w:pPr>
              <w:spacing w:line="276" w:lineRule="auto"/>
              <w:rPr>
                <w:sz w:val="22"/>
                <w:szCs w:val="22"/>
              </w:rPr>
            </w:pPr>
            <w:r>
              <w:rPr>
                <w:sz w:val="22"/>
                <w:szCs w:val="22"/>
              </w:rPr>
              <w:t>3,1</w:t>
            </w:r>
          </w:p>
        </w:tc>
      </w:tr>
      <w:tr w:rsidR="006A5EB3" w14:paraId="4BFE2CB1" w14:textId="77777777">
        <w:trPr>
          <w:trHeight w:val="197"/>
          <w:jc w:val="center"/>
        </w:trPr>
        <w:tc>
          <w:tcPr>
            <w:tcW w:w="2123" w:type="dxa"/>
          </w:tcPr>
          <w:p w14:paraId="72BDC0CE" w14:textId="77777777" w:rsidR="006A5EB3" w:rsidRDefault="00000000">
            <w:pPr>
              <w:spacing w:line="276" w:lineRule="auto"/>
              <w:rPr>
                <w:sz w:val="22"/>
                <w:szCs w:val="22"/>
              </w:rPr>
            </w:pPr>
            <w:r>
              <w:rPr>
                <w:sz w:val="22"/>
                <w:szCs w:val="22"/>
              </w:rPr>
              <w:t>2023 február</w:t>
            </w:r>
          </w:p>
        </w:tc>
        <w:tc>
          <w:tcPr>
            <w:tcW w:w="2123" w:type="dxa"/>
          </w:tcPr>
          <w:p w14:paraId="749A8F86" w14:textId="77777777" w:rsidR="006A5EB3" w:rsidRDefault="00000000">
            <w:pPr>
              <w:spacing w:line="276" w:lineRule="auto"/>
              <w:rPr>
                <w:sz w:val="22"/>
                <w:szCs w:val="22"/>
              </w:rPr>
            </w:pPr>
            <w:r>
              <w:rPr>
                <w:sz w:val="22"/>
                <w:szCs w:val="22"/>
              </w:rPr>
              <w:t>3,8</w:t>
            </w:r>
          </w:p>
        </w:tc>
        <w:tc>
          <w:tcPr>
            <w:tcW w:w="2123" w:type="dxa"/>
          </w:tcPr>
          <w:p w14:paraId="68810F13" w14:textId="77777777" w:rsidR="006A5EB3" w:rsidRDefault="00000000">
            <w:pPr>
              <w:spacing w:line="276" w:lineRule="auto"/>
              <w:rPr>
                <w:sz w:val="22"/>
                <w:szCs w:val="22"/>
              </w:rPr>
            </w:pPr>
            <w:r>
              <w:rPr>
                <w:sz w:val="22"/>
                <w:szCs w:val="22"/>
              </w:rPr>
              <w:t>4,3</w:t>
            </w:r>
          </w:p>
        </w:tc>
        <w:tc>
          <w:tcPr>
            <w:tcW w:w="2124" w:type="dxa"/>
          </w:tcPr>
          <w:p w14:paraId="3A2C2E6F" w14:textId="77777777" w:rsidR="006A5EB3" w:rsidRDefault="00000000">
            <w:pPr>
              <w:spacing w:line="276" w:lineRule="auto"/>
              <w:rPr>
                <w:sz w:val="22"/>
                <w:szCs w:val="22"/>
              </w:rPr>
            </w:pPr>
            <w:r>
              <w:rPr>
                <w:sz w:val="22"/>
                <w:szCs w:val="22"/>
              </w:rPr>
              <w:t>3,1</w:t>
            </w:r>
          </w:p>
        </w:tc>
      </w:tr>
      <w:tr w:rsidR="006A5EB3" w14:paraId="01ED0998" w14:textId="77777777">
        <w:trPr>
          <w:trHeight w:val="403"/>
          <w:jc w:val="center"/>
        </w:trPr>
        <w:tc>
          <w:tcPr>
            <w:tcW w:w="2123" w:type="dxa"/>
          </w:tcPr>
          <w:p w14:paraId="7105705E" w14:textId="77777777" w:rsidR="006A5EB3" w:rsidRDefault="00000000">
            <w:pPr>
              <w:spacing w:line="276" w:lineRule="auto"/>
              <w:rPr>
                <w:sz w:val="22"/>
                <w:szCs w:val="22"/>
              </w:rPr>
            </w:pPr>
            <w:r>
              <w:rPr>
                <w:sz w:val="22"/>
                <w:szCs w:val="22"/>
              </w:rPr>
              <w:t>2023 március</w:t>
            </w:r>
          </w:p>
        </w:tc>
        <w:tc>
          <w:tcPr>
            <w:tcW w:w="2123" w:type="dxa"/>
          </w:tcPr>
          <w:p w14:paraId="78B4BFD4" w14:textId="77777777" w:rsidR="006A5EB3" w:rsidRDefault="00000000">
            <w:pPr>
              <w:spacing w:line="276" w:lineRule="auto"/>
              <w:rPr>
                <w:sz w:val="22"/>
                <w:szCs w:val="22"/>
              </w:rPr>
            </w:pPr>
            <w:r>
              <w:rPr>
                <w:sz w:val="22"/>
                <w:szCs w:val="22"/>
              </w:rPr>
              <w:t>3,8</w:t>
            </w:r>
          </w:p>
        </w:tc>
        <w:tc>
          <w:tcPr>
            <w:tcW w:w="2123" w:type="dxa"/>
          </w:tcPr>
          <w:p w14:paraId="4930279E" w14:textId="77777777" w:rsidR="006A5EB3" w:rsidRDefault="00000000">
            <w:pPr>
              <w:spacing w:line="276" w:lineRule="auto"/>
              <w:rPr>
                <w:sz w:val="22"/>
                <w:szCs w:val="22"/>
              </w:rPr>
            </w:pPr>
            <w:r>
              <w:rPr>
                <w:sz w:val="22"/>
                <w:szCs w:val="22"/>
              </w:rPr>
              <w:t>4,2</w:t>
            </w:r>
          </w:p>
        </w:tc>
        <w:tc>
          <w:tcPr>
            <w:tcW w:w="2124" w:type="dxa"/>
          </w:tcPr>
          <w:p w14:paraId="576CBF20" w14:textId="77777777" w:rsidR="006A5EB3" w:rsidRDefault="00000000">
            <w:pPr>
              <w:spacing w:line="276" w:lineRule="auto"/>
              <w:rPr>
                <w:sz w:val="22"/>
                <w:szCs w:val="22"/>
              </w:rPr>
            </w:pPr>
            <w:r>
              <w:rPr>
                <w:sz w:val="22"/>
                <w:szCs w:val="22"/>
              </w:rPr>
              <w:t>3</w:t>
            </w:r>
          </w:p>
        </w:tc>
      </w:tr>
      <w:tr w:rsidR="006A5EB3" w14:paraId="1A9E60F7" w14:textId="77777777">
        <w:trPr>
          <w:trHeight w:val="204"/>
          <w:jc w:val="center"/>
        </w:trPr>
        <w:tc>
          <w:tcPr>
            <w:tcW w:w="2123" w:type="dxa"/>
          </w:tcPr>
          <w:p w14:paraId="7D95ACF6" w14:textId="77777777" w:rsidR="006A5EB3" w:rsidRDefault="00000000">
            <w:pPr>
              <w:spacing w:line="276" w:lineRule="auto"/>
              <w:rPr>
                <w:sz w:val="22"/>
                <w:szCs w:val="22"/>
              </w:rPr>
            </w:pPr>
            <w:r>
              <w:rPr>
                <w:sz w:val="22"/>
                <w:szCs w:val="22"/>
              </w:rPr>
              <w:t>2023 április</w:t>
            </w:r>
          </w:p>
        </w:tc>
        <w:tc>
          <w:tcPr>
            <w:tcW w:w="2123" w:type="dxa"/>
          </w:tcPr>
          <w:p w14:paraId="721941AB" w14:textId="77777777" w:rsidR="006A5EB3" w:rsidRDefault="00000000">
            <w:pPr>
              <w:spacing w:line="276" w:lineRule="auto"/>
              <w:rPr>
                <w:sz w:val="22"/>
                <w:szCs w:val="22"/>
              </w:rPr>
            </w:pPr>
            <w:r>
              <w:rPr>
                <w:sz w:val="22"/>
                <w:szCs w:val="22"/>
              </w:rPr>
              <w:t>3,8</w:t>
            </w:r>
          </w:p>
        </w:tc>
        <w:tc>
          <w:tcPr>
            <w:tcW w:w="2123" w:type="dxa"/>
          </w:tcPr>
          <w:p w14:paraId="4DF9280B" w14:textId="77777777" w:rsidR="006A5EB3" w:rsidRDefault="00000000">
            <w:pPr>
              <w:spacing w:line="276" w:lineRule="auto"/>
              <w:rPr>
                <w:sz w:val="22"/>
                <w:szCs w:val="22"/>
              </w:rPr>
            </w:pPr>
            <w:r>
              <w:rPr>
                <w:sz w:val="22"/>
                <w:szCs w:val="22"/>
              </w:rPr>
              <w:t>4</w:t>
            </w:r>
          </w:p>
        </w:tc>
        <w:tc>
          <w:tcPr>
            <w:tcW w:w="2124" w:type="dxa"/>
          </w:tcPr>
          <w:p w14:paraId="6A820FA0" w14:textId="77777777" w:rsidR="006A5EB3" w:rsidRDefault="00000000">
            <w:pPr>
              <w:spacing w:line="276" w:lineRule="auto"/>
              <w:rPr>
                <w:sz w:val="22"/>
                <w:szCs w:val="22"/>
              </w:rPr>
            </w:pPr>
            <w:r>
              <w:rPr>
                <w:sz w:val="22"/>
                <w:szCs w:val="22"/>
              </w:rPr>
              <w:t>2,7</w:t>
            </w:r>
          </w:p>
        </w:tc>
      </w:tr>
      <w:tr w:rsidR="006A5EB3" w14:paraId="537FBC35" w14:textId="77777777">
        <w:trPr>
          <w:trHeight w:val="197"/>
          <w:jc w:val="center"/>
        </w:trPr>
        <w:tc>
          <w:tcPr>
            <w:tcW w:w="2123" w:type="dxa"/>
          </w:tcPr>
          <w:p w14:paraId="48FAB687" w14:textId="77777777" w:rsidR="006A5EB3" w:rsidRDefault="00000000">
            <w:pPr>
              <w:spacing w:line="276" w:lineRule="auto"/>
              <w:rPr>
                <w:sz w:val="22"/>
                <w:szCs w:val="22"/>
              </w:rPr>
            </w:pPr>
            <w:r>
              <w:rPr>
                <w:sz w:val="22"/>
                <w:szCs w:val="22"/>
              </w:rPr>
              <w:t>2023 május</w:t>
            </w:r>
          </w:p>
        </w:tc>
        <w:tc>
          <w:tcPr>
            <w:tcW w:w="2123" w:type="dxa"/>
          </w:tcPr>
          <w:p w14:paraId="553927DE" w14:textId="77777777" w:rsidR="006A5EB3" w:rsidRDefault="00000000">
            <w:pPr>
              <w:spacing w:line="276" w:lineRule="auto"/>
              <w:rPr>
                <w:sz w:val="22"/>
                <w:szCs w:val="22"/>
              </w:rPr>
            </w:pPr>
            <w:r>
              <w:rPr>
                <w:sz w:val="22"/>
                <w:szCs w:val="22"/>
              </w:rPr>
              <w:t>3,8</w:t>
            </w:r>
          </w:p>
        </w:tc>
        <w:tc>
          <w:tcPr>
            <w:tcW w:w="2123" w:type="dxa"/>
          </w:tcPr>
          <w:p w14:paraId="0CBB4CCA" w14:textId="77777777" w:rsidR="006A5EB3" w:rsidRDefault="00000000">
            <w:pPr>
              <w:spacing w:line="276" w:lineRule="auto"/>
              <w:rPr>
                <w:sz w:val="22"/>
                <w:szCs w:val="22"/>
              </w:rPr>
            </w:pPr>
            <w:r>
              <w:rPr>
                <w:sz w:val="22"/>
                <w:szCs w:val="22"/>
              </w:rPr>
              <w:t>3,8</w:t>
            </w:r>
          </w:p>
        </w:tc>
        <w:tc>
          <w:tcPr>
            <w:tcW w:w="2124" w:type="dxa"/>
          </w:tcPr>
          <w:p w14:paraId="087D8C65" w14:textId="77777777" w:rsidR="006A5EB3" w:rsidRDefault="00000000">
            <w:pPr>
              <w:spacing w:line="276" w:lineRule="auto"/>
              <w:rPr>
                <w:sz w:val="22"/>
                <w:szCs w:val="22"/>
              </w:rPr>
            </w:pPr>
            <w:r>
              <w:rPr>
                <w:sz w:val="22"/>
                <w:szCs w:val="22"/>
              </w:rPr>
              <w:t>2,7</w:t>
            </w:r>
          </w:p>
        </w:tc>
      </w:tr>
      <w:tr w:rsidR="006A5EB3" w14:paraId="5B2C8046" w14:textId="77777777">
        <w:trPr>
          <w:trHeight w:val="204"/>
          <w:jc w:val="center"/>
        </w:trPr>
        <w:tc>
          <w:tcPr>
            <w:tcW w:w="2123" w:type="dxa"/>
          </w:tcPr>
          <w:p w14:paraId="66641BF6" w14:textId="77777777" w:rsidR="006A5EB3" w:rsidRDefault="00000000">
            <w:pPr>
              <w:spacing w:line="276" w:lineRule="auto"/>
              <w:rPr>
                <w:sz w:val="22"/>
                <w:szCs w:val="22"/>
              </w:rPr>
            </w:pPr>
            <w:r>
              <w:rPr>
                <w:sz w:val="22"/>
                <w:szCs w:val="22"/>
              </w:rPr>
              <w:t>2023 június</w:t>
            </w:r>
          </w:p>
        </w:tc>
        <w:tc>
          <w:tcPr>
            <w:tcW w:w="2123" w:type="dxa"/>
          </w:tcPr>
          <w:p w14:paraId="29919CFC" w14:textId="77777777" w:rsidR="006A5EB3" w:rsidRDefault="00000000">
            <w:pPr>
              <w:spacing w:line="276" w:lineRule="auto"/>
              <w:rPr>
                <w:sz w:val="22"/>
                <w:szCs w:val="22"/>
              </w:rPr>
            </w:pPr>
            <w:r>
              <w:rPr>
                <w:sz w:val="22"/>
                <w:szCs w:val="22"/>
              </w:rPr>
              <w:t>4,2</w:t>
            </w:r>
          </w:p>
        </w:tc>
        <w:tc>
          <w:tcPr>
            <w:tcW w:w="2123" w:type="dxa"/>
          </w:tcPr>
          <w:p w14:paraId="5240499C" w14:textId="77777777" w:rsidR="006A5EB3" w:rsidRDefault="00000000">
            <w:pPr>
              <w:spacing w:line="276" w:lineRule="auto"/>
              <w:rPr>
                <w:sz w:val="22"/>
                <w:szCs w:val="22"/>
              </w:rPr>
            </w:pPr>
            <w:r>
              <w:rPr>
                <w:sz w:val="22"/>
                <w:szCs w:val="22"/>
              </w:rPr>
              <w:t>3,8</w:t>
            </w:r>
          </w:p>
        </w:tc>
        <w:tc>
          <w:tcPr>
            <w:tcW w:w="2124" w:type="dxa"/>
          </w:tcPr>
          <w:p w14:paraId="0754CC41" w14:textId="77777777" w:rsidR="006A5EB3" w:rsidRDefault="00000000">
            <w:pPr>
              <w:spacing w:line="276" w:lineRule="auto"/>
              <w:rPr>
                <w:sz w:val="22"/>
                <w:szCs w:val="22"/>
              </w:rPr>
            </w:pPr>
            <w:r>
              <w:rPr>
                <w:sz w:val="22"/>
                <w:szCs w:val="22"/>
              </w:rPr>
              <w:t>2,7</w:t>
            </w:r>
          </w:p>
        </w:tc>
      </w:tr>
      <w:tr w:rsidR="006A5EB3" w14:paraId="5D8AC64B" w14:textId="77777777">
        <w:trPr>
          <w:trHeight w:val="197"/>
          <w:jc w:val="center"/>
        </w:trPr>
        <w:tc>
          <w:tcPr>
            <w:tcW w:w="2123" w:type="dxa"/>
          </w:tcPr>
          <w:p w14:paraId="5541F324" w14:textId="77777777" w:rsidR="006A5EB3" w:rsidRDefault="00000000">
            <w:pPr>
              <w:spacing w:line="276" w:lineRule="auto"/>
              <w:rPr>
                <w:sz w:val="22"/>
                <w:szCs w:val="22"/>
              </w:rPr>
            </w:pPr>
            <w:r>
              <w:rPr>
                <w:sz w:val="22"/>
                <w:szCs w:val="22"/>
              </w:rPr>
              <w:t>2023 július</w:t>
            </w:r>
          </w:p>
        </w:tc>
        <w:tc>
          <w:tcPr>
            <w:tcW w:w="2123" w:type="dxa"/>
          </w:tcPr>
          <w:p w14:paraId="5E1993A1" w14:textId="77777777" w:rsidR="006A5EB3" w:rsidRDefault="00000000">
            <w:pPr>
              <w:spacing w:line="276" w:lineRule="auto"/>
              <w:rPr>
                <w:sz w:val="22"/>
                <w:szCs w:val="22"/>
              </w:rPr>
            </w:pPr>
            <w:r>
              <w:rPr>
                <w:sz w:val="22"/>
                <w:szCs w:val="22"/>
              </w:rPr>
              <w:t>4,9</w:t>
            </w:r>
          </w:p>
        </w:tc>
        <w:tc>
          <w:tcPr>
            <w:tcW w:w="2123" w:type="dxa"/>
          </w:tcPr>
          <w:p w14:paraId="16416261" w14:textId="77777777" w:rsidR="006A5EB3" w:rsidRDefault="00000000">
            <w:pPr>
              <w:spacing w:line="276" w:lineRule="auto"/>
              <w:rPr>
                <w:sz w:val="22"/>
                <w:szCs w:val="22"/>
              </w:rPr>
            </w:pPr>
            <w:r>
              <w:rPr>
                <w:sz w:val="22"/>
                <w:szCs w:val="22"/>
              </w:rPr>
              <w:t>3,7</w:t>
            </w:r>
          </w:p>
        </w:tc>
        <w:tc>
          <w:tcPr>
            <w:tcW w:w="2124" w:type="dxa"/>
          </w:tcPr>
          <w:p w14:paraId="6567E360" w14:textId="77777777" w:rsidR="006A5EB3" w:rsidRDefault="00000000">
            <w:pPr>
              <w:keepNext/>
              <w:spacing w:line="276" w:lineRule="auto"/>
              <w:rPr>
                <w:sz w:val="22"/>
                <w:szCs w:val="22"/>
              </w:rPr>
            </w:pPr>
            <w:r>
              <w:rPr>
                <w:sz w:val="22"/>
                <w:szCs w:val="22"/>
              </w:rPr>
              <w:t>2,7</w:t>
            </w:r>
          </w:p>
        </w:tc>
      </w:tr>
    </w:tbl>
    <w:p w14:paraId="2FE62515" w14:textId="77777777" w:rsidR="006A5EB3" w:rsidRDefault="00000000">
      <w:pPr>
        <w:pBdr>
          <w:top w:val="nil"/>
          <w:left w:val="nil"/>
          <w:bottom w:val="nil"/>
          <w:right w:val="nil"/>
          <w:between w:val="nil"/>
        </w:pBdr>
        <w:spacing w:after="200" w:line="240" w:lineRule="auto"/>
        <w:jc w:val="center"/>
      </w:pPr>
      <w:r>
        <w:rPr>
          <w:i/>
          <w:color w:val="44546A"/>
          <w:sz w:val="18"/>
          <w:szCs w:val="18"/>
        </w:rPr>
        <w:t>12. ábra: a 2022 szeptember után mért értékek</w:t>
      </w:r>
    </w:p>
    <w:p w14:paraId="2B295772" w14:textId="77777777" w:rsidR="006A5EB3" w:rsidRDefault="00000000">
      <w:pPr>
        <w:pBdr>
          <w:top w:val="nil"/>
          <w:left w:val="nil"/>
          <w:bottom w:val="nil"/>
          <w:right w:val="nil"/>
          <w:between w:val="nil"/>
        </w:pBdr>
        <w:spacing w:after="200" w:line="240" w:lineRule="auto"/>
        <w:jc w:val="both"/>
        <w:rPr>
          <w:i/>
          <w:color w:val="44546A"/>
          <w:sz w:val="18"/>
          <w:szCs w:val="18"/>
        </w:rPr>
      </w:pPr>
      <w:r>
        <w:t>Miután a programon keresztül kértem a kiválasztott modellekre a 10 hónapos előrejelzéseket, a következő adatokat kaptam:</w:t>
      </w:r>
    </w:p>
    <w:p w14:paraId="6C0C6875" w14:textId="77777777" w:rsidR="006A5EB3" w:rsidRDefault="00000000">
      <w:pPr>
        <w:keepNext/>
        <w:jc w:val="center"/>
      </w:pPr>
      <w:r>
        <w:rPr>
          <w:noProof/>
        </w:rPr>
        <w:drawing>
          <wp:inline distT="0" distB="0" distL="0" distR="0" wp14:anchorId="39B6A0A6" wp14:editId="2E3DBFFF">
            <wp:extent cx="5176334" cy="2907478"/>
            <wp:effectExtent l="0" t="0" r="0" b="0"/>
            <wp:docPr id="2145247986" name="image8.png" descr="Becslések grafikonja"/>
            <wp:cNvGraphicFramePr/>
            <a:graphic xmlns:a="http://schemas.openxmlformats.org/drawingml/2006/main">
              <a:graphicData uri="http://schemas.openxmlformats.org/drawingml/2006/picture">
                <pic:pic xmlns:pic="http://schemas.openxmlformats.org/drawingml/2006/picture">
                  <pic:nvPicPr>
                    <pic:cNvPr id="0" name="image8.png" descr="Becslések grafikonja"/>
                    <pic:cNvPicPr preferRelativeResize="0"/>
                  </pic:nvPicPr>
                  <pic:blipFill>
                    <a:blip r:embed="rId13"/>
                    <a:srcRect l="8144" r="8765"/>
                    <a:stretch>
                      <a:fillRect/>
                    </a:stretch>
                  </pic:blipFill>
                  <pic:spPr>
                    <a:xfrm>
                      <a:off x="0" y="0"/>
                      <a:ext cx="5176334" cy="2907478"/>
                    </a:xfrm>
                    <a:prstGeom prst="rect">
                      <a:avLst/>
                    </a:prstGeom>
                    <a:ln/>
                  </pic:spPr>
                </pic:pic>
              </a:graphicData>
            </a:graphic>
          </wp:inline>
        </w:drawing>
      </w:r>
    </w:p>
    <w:p w14:paraId="33104B9D"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13. ábra: ARMA előrejelzések grafikonon ábrázolva</w:t>
      </w:r>
    </w:p>
    <w:p w14:paraId="13318A4C" w14:textId="77777777" w:rsidR="006A5EB3" w:rsidRDefault="00000000">
      <w:pPr>
        <w:keepNext/>
        <w:jc w:val="center"/>
      </w:pPr>
      <w:r>
        <w:rPr>
          <w:noProof/>
        </w:rPr>
        <w:lastRenderedPageBreak/>
        <w:drawing>
          <wp:inline distT="0" distB="0" distL="0" distR="0" wp14:anchorId="11FB5C40" wp14:editId="730EC915">
            <wp:extent cx="5474910" cy="3029856"/>
            <wp:effectExtent l="0" t="0" r="0" b="0"/>
            <wp:docPr id="2145247985" name="image6.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6.png" descr="Eredeti (mért) adatok grafikonja"/>
                    <pic:cNvPicPr preferRelativeResize="0"/>
                  </pic:nvPicPr>
                  <pic:blipFill>
                    <a:blip r:embed="rId14"/>
                    <a:srcRect l="7729" r="7934"/>
                    <a:stretch>
                      <a:fillRect/>
                    </a:stretch>
                  </pic:blipFill>
                  <pic:spPr>
                    <a:xfrm>
                      <a:off x="0" y="0"/>
                      <a:ext cx="5474910" cy="3029856"/>
                    </a:xfrm>
                    <a:prstGeom prst="rect">
                      <a:avLst/>
                    </a:prstGeom>
                    <a:ln/>
                  </pic:spPr>
                </pic:pic>
              </a:graphicData>
            </a:graphic>
          </wp:inline>
        </w:drawing>
      </w:r>
    </w:p>
    <w:p w14:paraId="6E934B4A"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14. ábra: A valós adatok grafikonon ábrázolva</w:t>
      </w:r>
    </w:p>
    <w:p w14:paraId="0AD220A8" w14:textId="77777777" w:rsidR="006A5EB3" w:rsidRDefault="00000000">
      <w:r>
        <w:t xml:space="preserve">A becslések pontosságának megállapításához két mutatót használtam: </w:t>
      </w:r>
    </w:p>
    <w:p w14:paraId="3A3B8A2C" w14:textId="77777777" w:rsidR="006A5EB3" w:rsidRDefault="00000000">
      <w:pPr>
        <w:numPr>
          <w:ilvl w:val="0"/>
          <w:numId w:val="2"/>
        </w:numPr>
        <w:pBdr>
          <w:top w:val="nil"/>
          <w:left w:val="nil"/>
          <w:bottom w:val="nil"/>
          <w:right w:val="nil"/>
          <w:between w:val="nil"/>
        </w:pBdr>
        <w:spacing w:after="0"/>
        <w:jc w:val="both"/>
      </w:pPr>
      <w:r>
        <w:rPr>
          <w:color w:val="000000"/>
        </w:rPr>
        <w:t xml:space="preserve">az </w:t>
      </w:r>
      <w:r>
        <w:rPr>
          <w:b/>
          <w:color w:val="000000"/>
        </w:rPr>
        <w:t>átlagos négyzetes eltérést</w:t>
      </w:r>
      <w:r>
        <w:rPr>
          <w:color w:val="000000"/>
        </w:rPr>
        <w:t xml:space="preserve"> (Mean Squared Error, MSE), amely a tényleges és becsült adatok közötti különbségek négyzeteinek az átlaga: </w:t>
      </w:r>
    </w:p>
    <w:p w14:paraId="19309C38" w14:textId="77777777" w:rsidR="006A5EB3"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19450F8F" wp14:editId="0972AE34">
            <wp:extent cx="1363667" cy="376417"/>
            <wp:effectExtent l="0" t="0" r="0" b="0"/>
            <wp:docPr id="2145247987" name="image3.gif" descr="Machine learning: an introduction to mean squared error and regression lines"/>
            <wp:cNvGraphicFramePr/>
            <a:graphic xmlns:a="http://schemas.openxmlformats.org/drawingml/2006/main">
              <a:graphicData uri="http://schemas.openxmlformats.org/drawingml/2006/picture">
                <pic:pic xmlns:pic="http://schemas.openxmlformats.org/drawingml/2006/picture">
                  <pic:nvPicPr>
                    <pic:cNvPr id="0" name="image3.gif" descr="Machine learning: an introduction to mean squared error and regression lines"/>
                    <pic:cNvPicPr preferRelativeResize="0"/>
                  </pic:nvPicPr>
                  <pic:blipFill>
                    <a:blip r:embed="rId15"/>
                    <a:srcRect/>
                    <a:stretch>
                      <a:fillRect/>
                    </a:stretch>
                  </pic:blipFill>
                  <pic:spPr>
                    <a:xfrm>
                      <a:off x="0" y="0"/>
                      <a:ext cx="1363667" cy="376417"/>
                    </a:xfrm>
                    <a:prstGeom prst="rect">
                      <a:avLst/>
                    </a:prstGeom>
                    <a:ln/>
                  </pic:spPr>
                </pic:pic>
              </a:graphicData>
            </a:graphic>
          </wp:inline>
        </w:drawing>
      </w:r>
    </w:p>
    <w:p w14:paraId="78E5C8D6" w14:textId="77777777" w:rsidR="006A5EB3" w:rsidRDefault="00000000">
      <w:pPr>
        <w:numPr>
          <w:ilvl w:val="0"/>
          <w:numId w:val="2"/>
        </w:numPr>
        <w:pBdr>
          <w:top w:val="nil"/>
          <w:left w:val="nil"/>
          <w:bottom w:val="nil"/>
          <w:right w:val="nil"/>
          <w:between w:val="nil"/>
        </w:pBdr>
        <w:spacing w:after="0"/>
        <w:jc w:val="both"/>
      </w:pPr>
      <w:r>
        <w:rPr>
          <w:b/>
          <w:color w:val="000000"/>
        </w:rPr>
        <w:t>a relatív átlagos négyzetes</w:t>
      </w:r>
      <w:r>
        <w:rPr>
          <w:color w:val="000000"/>
        </w:rPr>
        <w:t xml:space="preserve"> eltérések gyökét (Relative Root Mean Square Error, RRMSE), amely relatívan, normalizálva adja meg a hibákat, százalékos értékben. Minél kisebb ez két mutató, a modell annál jobb becslést ad.</w:t>
      </w:r>
    </w:p>
    <w:p w14:paraId="2256B84C" w14:textId="77777777" w:rsidR="006A5EB3"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RRMSE=</m:t>
          </m:r>
          <m:f>
            <m:fPr>
              <m:ctrlPr>
                <w:rPr>
                  <w:rFonts w:ascii="Cambria Math" w:eastAsia="Cambria Math" w:hAnsi="Cambria Math" w:cs="Cambria Math"/>
                  <w:color w:val="000000"/>
                </w:rPr>
              </m:ctrlPr>
            </m:fPr>
            <m:num>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MSE</m:t>
                  </m:r>
                </m:e>
              </m:rad>
            </m:num>
            <m:den>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den>
          </m:f>
        </m:oMath>
      </m:oMathPara>
    </w:p>
    <w:p w14:paraId="73E90D81" w14:textId="77777777" w:rsidR="006A5EB3" w:rsidRDefault="00000000">
      <w:pPr>
        <w:pBdr>
          <w:top w:val="nil"/>
          <w:left w:val="nil"/>
          <w:bottom w:val="nil"/>
          <w:right w:val="nil"/>
          <w:between w:val="nil"/>
        </w:pBdr>
        <w:ind w:left="720"/>
        <w:jc w:val="both"/>
        <w:rPr>
          <w:color w:val="000000"/>
        </w:rPr>
      </w:pPr>
      <w:r>
        <w:rPr>
          <w:color w:val="000000"/>
        </w:rPr>
        <w:t>A képletekben n az adatok száma, y</w:t>
      </w:r>
      <w:r>
        <w:rPr>
          <w:color w:val="000000"/>
          <w:vertAlign w:val="subscript"/>
        </w:rPr>
        <w:t>i</w:t>
      </w:r>
      <w:r>
        <w:rPr>
          <w:color w:val="000000"/>
        </w:rPr>
        <w:t xml:space="preserve"> a valóságos, </w:t>
      </w:r>
      <m:oMath>
        <m:sSub>
          <m:sSubPr>
            <m:ctrlPr>
              <w:rPr>
                <w:rFonts w:ascii="Cambria Math" w:eastAsia="Cambria Math" w:hAnsi="Cambria Math" w:cs="Cambria Math"/>
                <w:color w:val="000000"/>
              </w:rPr>
            </m:ctrlPr>
          </m:sSubPr>
          <m:e>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e>
          <m:sub>
            <m:r>
              <w:rPr>
                <w:rFonts w:ascii="Cambria Math" w:eastAsia="Cambria Math" w:hAnsi="Cambria Math" w:cs="Cambria Math"/>
                <w:color w:val="000000"/>
              </w:rPr>
              <m:t>i</m:t>
            </m:r>
          </m:sub>
        </m:sSub>
      </m:oMath>
      <w:r>
        <w:rPr>
          <w:color w:val="000000"/>
        </w:rPr>
        <w:t xml:space="preserve"> a becsült érték az i-edik mintában.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 xml:space="preserve">y </m:t>
            </m:r>
          </m:e>
        </m:bar>
      </m:oMath>
      <w:r>
        <w:rPr>
          <w:color w:val="000000"/>
        </w:rPr>
        <w:t xml:space="preserve">a valóságos értékek átlaga. A </w:t>
      </w:r>
      <w:r>
        <w:t>következő</w:t>
      </w:r>
      <w:r>
        <w:rPr>
          <w:color w:val="000000"/>
        </w:rPr>
        <w:t xml:space="preserve"> táblázatban összefoglaltam az MSE és RRMSE értékeket az egyes modellekre:</w:t>
      </w:r>
    </w:p>
    <w:tbl>
      <w:tblPr>
        <w:tblStyle w:val="a6"/>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762"/>
        <w:gridCol w:w="2780"/>
      </w:tblGrid>
      <w:tr w:rsidR="006A5EB3" w14:paraId="7A86E978" w14:textId="77777777">
        <w:tc>
          <w:tcPr>
            <w:tcW w:w="2800" w:type="dxa"/>
          </w:tcPr>
          <w:p w14:paraId="4EB7FC28" w14:textId="77777777" w:rsidR="006A5EB3" w:rsidRDefault="00000000">
            <w:pPr>
              <w:pBdr>
                <w:top w:val="nil"/>
                <w:left w:val="nil"/>
                <w:bottom w:val="nil"/>
                <w:right w:val="nil"/>
                <w:between w:val="nil"/>
              </w:pBdr>
              <w:spacing w:after="160" w:line="276" w:lineRule="auto"/>
              <w:jc w:val="center"/>
              <w:rPr>
                <w:color w:val="000000"/>
              </w:rPr>
            </w:pPr>
            <w:r>
              <w:rPr>
                <w:color w:val="000000"/>
              </w:rPr>
              <w:t>Modell</w:t>
            </w:r>
          </w:p>
        </w:tc>
        <w:tc>
          <w:tcPr>
            <w:tcW w:w="2762" w:type="dxa"/>
          </w:tcPr>
          <w:p w14:paraId="035172C3" w14:textId="77777777" w:rsidR="006A5EB3" w:rsidRDefault="00000000">
            <w:pPr>
              <w:pBdr>
                <w:top w:val="nil"/>
                <w:left w:val="nil"/>
                <w:bottom w:val="nil"/>
                <w:right w:val="nil"/>
                <w:between w:val="nil"/>
              </w:pBdr>
              <w:spacing w:after="160" w:line="276" w:lineRule="auto"/>
              <w:jc w:val="center"/>
              <w:rPr>
                <w:color w:val="000000"/>
              </w:rPr>
            </w:pPr>
            <w:r>
              <w:rPr>
                <w:color w:val="000000"/>
              </w:rPr>
              <w:t>MSE</w:t>
            </w:r>
          </w:p>
        </w:tc>
        <w:tc>
          <w:tcPr>
            <w:tcW w:w="2780" w:type="dxa"/>
          </w:tcPr>
          <w:p w14:paraId="66AC495A" w14:textId="77777777" w:rsidR="006A5EB3" w:rsidRDefault="00000000">
            <w:pPr>
              <w:pBdr>
                <w:top w:val="nil"/>
                <w:left w:val="nil"/>
                <w:bottom w:val="nil"/>
                <w:right w:val="nil"/>
                <w:between w:val="nil"/>
              </w:pBdr>
              <w:spacing w:after="160" w:line="276" w:lineRule="auto"/>
              <w:jc w:val="center"/>
              <w:rPr>
                <w:color w:val="000000"/>
              </w:rPr>
            </w:pPr>
            <w:r>
              <w:rPr>
                <w:color w:val="000000"/>
              </w:rPr>
              <w:t>RRMSE</w:t>
            </w:r>
          </w:p>
        </w:tc>
      </w:tr>
      <w:tr w:rsidR="006A5EB3" w14:paraId="2C08BB52" w14:textId="77777777">
        <w:tc>
          <w:tcPr>
            <w:tcW w:w="2800" w:type="dxa"/>
          </w:tcPr>
          <w:p w14:paraId="24B7A764" w14:textId="77777777" w:rsidR="006A5EB3" w:rsidRDefault="00000000">
            <w:pPr>
              <w:pBdr>
                <w:top w:val="nil"/>
                <w:left w:val="nil"/>
                <w:bottom w:val="nil"/>
                <w:right w:val="nil"/>
                <w:between w:val="nil"/>
              </w:pBdr>
              <w:spacing w:after="160" w:line="276" w:lineRule="auto"/>
              <w:jc w:val="center"/>
              <w:rPr>
                <w:color w:val="000000"/>
              </w:rPr>
            </w:pPr>
            <w:r>
              <w:rPr>
                <w:color w:val="000000"/>
              </w:rPr>
              <w:t>Kovászna ARMA(1, 1)</w:t>
            </w:r>
          </w:p>
        </w:tc>
        <w:tc>
          <w:tcPr>
            <w:tcW w:w="2762" w:type="dxa"/>
          </w:tcPr>
          <w:p w14:paraId="349D787A" w14:textId="77777777" w:rsidR="006A5EB3" w:rsidRDefault="00000000">
            <w:pPr>
              <w:pBdr>
                <w:top w:val="nil"/>
                <w:left w:val="nil"/>
                <w:bottom w:val="nil"/>
                <w:right w:val="nil"/>
                <w:between w:val="nil"/>
              </w:pBdr>
              <w:spacing w:after="160" w:line="276" w:lineRule="auto"/>
              <w:jc w:val="center"/>
              <w:rPr>
                <w:color w:val="000000"/>
              </w:rPr>
            </w:pPr>
            <w:r>
              <w:rPr>
                <w:color w:val="000000"/>
              </w:rPr>
              <w:t>0.209</w:t>
            </w:r>
          </w:p>
        </w:tc>
        <w:tc>
          <w:tcPr>
            <w:tcW w:w="2780" w:type="dxa"/>
          </w:tcPr>
          <w:p w14:paraId="1823AF4C" w14:textId="77777777" w:rsidR="006A5EB3" w:rsidRDefault="00000000">
            <w:pPr>
              <w:pBdr>
                <w:top w:val="nil"/>
                <w:left w:val="nil"/>
                <w:bottom w:val="nil"/>
                <w:right w:val="nil"/>
                <w:between w:val="nil"/>
              </w:pBdr>
              <w:spacing w:after="160" w:line="276" w:lineRule="auto"/>
              <w:jc w:val="center"/>
              <w:rPr>
                <w:color w:val="000000"/>
              </w:rPr>
            </w:pPr>
            <w:r>
              <w:rPr>
                <w:color w:val="000000"/>
              </w:rPr>
              <w:t>0.113</w:t>
            </w:r>
          </w:p>
        </w:tc>
      </w:tr>
      <w:tr w:rsidR="006A5EB3" w14:paraId="62178387" w14:textId="77777777">
        <w:tc>
          <w:tcPr>
            <w:tcW w:w="2800" w:type="dxa"/>
          </w:tcPr>
          <w:p w14:paraId="660701EB" w14:textId="77777777" w:rsidR="006A5EB3" w:rsidRDefault="00000000">
            <w:pPr>
              <w:pBdr>
                <w:top w:val="nil"/>
                <w:left w:val="nil"/>
                <w:bottom w:val="nil"/>
                <w:right w:val="nil"/>
                <w:between w:val="nil"/>
              </w:pBdr>
              <w:spacing w:after="160" w:line="276" w:lineRule="auto"/>
              <w:jc w:val="center"/>
              <w:rPr>
                <w:color w:val="000000"/>
              </w:rPr>
            </w:pPr>
            <w:r>
              <w:rPr>
                <w:color w:val="000000"/>
              </w:rPr>
              <w:t>Hargita ARMA(1, 2)</w:t>
            </w:r>
          </w:p>
        </w:tc>
        <w:tc>
          <w:tcPr>
            <w:tcW w:w="2762" w:type="dxa"/>
          </w:tcPr>
          <w:p w14:paraId="35E17900" w14:textId="77777777" w:rsidR="006A5EB3" w:rsidRDefault="00000000">
            <w:pPr>
              <w:pBdr>
                <w:top w:val="nil"/>
                <w:left w:val="nil"/>
                <w:bottom w:val="nil"/>
                <w:right w:val="nil"/>
                <w:between w:val="nil"/>
              </w:pBdr>
              <w:spacing w:after="160" w:line="276" w:lineRule="auto"/>
              <w:jc w:val="center"/>
              <w:rPr>
                <w:color w:val="000000"/>
              </w:rPr>
            </w:pPr>
            <w:r>
              <w:rPr>
                <w:color w:val="000000"/>
              </w:rPr>
              <w:t>0.1953</w:t>
            </w:r>
          </w:p>
        </w:tc>
        <w:tc>
          <w:tcPr>
            <w:tcW w:w="2780" w:type="dxa"/>
          </w:tcPr>
          <w:p w14:paraId="25EBCCAB" w14:textId="77777777" w:rsidR="006A5EB3" w:rsidRDefault="00000000">
            <w:pPr>
              <w:pBdr>
                <w:top w:val="nil"/>
                <w:left w:val="nil"/>
                <w:bottom w:val="nil"/>
                <w:right w:val="nil"/>
                <w:between w:val="nil"/>
              </w:pBdr>
              <w:spacing w:after="160" w:line="276" w:lineRule="auto"/>
              <w:jc w:val="center"/>
              <w:rPr>
                <w:color w:val="000000"/>
              </w:rPr>
            </w:pPr>
            <w:r>
              <w:rPr>
                <w:color w:val="000000"/>
              </w:rPr>
              <w:t>0.107</w:t>
            </w:r>
          </w:p>
        </w:tc>
      </w:tr>
      <w:tr w:rsidR="006A5EB3" w14:paraId="1E1CC1EA" w14:textId="77777777">
        <w:tc>
          <w:tcPr>
            <w:tcW w:w="2800" w:type="dxa"/>
          </w:tcPr>
          <w:p w14:paraId="3B1DAFDB" w14:textId="77777777" w:rsidR="006A5EB3" w:rsidRDefault="00000000">
            <w:pPr>
              <w:pBdr>
                <w:top w:val="nil"/>
                <w:left w:val="nil"/>
                <w:bottom w:val="nil"/>
                <w:right w:val="nil"/>
                <w:between w:val="nil"/>
              </w:pBdr>
              <w:spacing w:after="160" w:line="276" w:lineRule="auto"/>
              <w:jc w:val="center"/>
              <w:rPr>
                <w:color w:val="000000"/>
              </w:rPr>
            </w:pPr>
            <w:r>
              <w:rPr>
                <w:color w:val="000000"/>
              </w:rPr>
              <w:t>Maros AR(2)</w:t>
            </w:r>
          </w:p>
        </w:tc>
        <w:tc>
          <w:tcPr>
            <w:tcW w:w="2762" w:type="dxa"/>
          </w:tcPr>
          <w:p w14:paraId="7CF027EA" w14:textId="77777777" w:rsidR="006A5EB3" w:rsidRDefault="00000000">
            <w:pPr>
              <w:pBdr>
                <w:top w:val="nil"/>
                <w:left w:val="nil"/>
                <w:bottom w:val="nil"/>
                <w:right w:val="nil"/>
                <w:between w:val="nil"/>
              </w:pBdr>
              <w:spacing w:after="160" w:line="276" w:lineRule="auto"/>
              <w:jc w:val="center"/>
              <w:rPr>
                <w:color w:val="000000"/>
              </w:rPr>
            </w:pPr>
            <w:r>
              <w:rPr>
                <w:color w:val="000000"/>
              </w:rPr>
              <w:t>0.0826</w:t>
            </w:r>
          </w:p>
        </w:tc>
        <w:tc>
          <w:tcPr>
            <w:tcW w:w="2780" w:type="dxa"/>
          </w:tcPr>
          <w:p w14:paraId="24384787" w14:textId="77777777" w:rsidR="006A5EB3" w:rsidRDefault="00000000">
            <w:pPr>
              <w:keepNext/>
              <w:pBdr>
                <w:top w:val="nil"/>
                <w:left w:val="nil"/>
                <w:bottom w:val="nil"/>
                <w:right w:val="nil"/>
                <w:between w:val="nil"/>
              </w:pBdr>
              <w:spacing w:after="160" w:line="276" w:lineRule="auto"/>
              <w:jc w:val="center"/>
              <w:rPr>
                <w:color w:val="000000"/>
              </w:rPr>
            </w:pPr>
            <w:r>
              <w:rPr>
                <w:color w:val="000000"/>
              </w:rPr>
              <w:t>0.0974</w:t>
            </w:r>
          </w:p>
        </w:tc>
      </w:tr>
    </w:tbl>
    <w:p w14:paraId="5047E681" w14:textId="77777777" w:rsidR="006A5E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MSE és RRMSE értékek</w:t>
      </w:r>
    </w:p>
    <w:p w14:paraId="7162BB0D" w14:textId="77777777" w:rsidR="006A5EB3" w:rsidRDefault="00000000">
      <w:pPr>
        <w:pStyle w:val="Heading1"/>
        <w:numPr>
          <w:ilvl w:val="0"/>
          <w:numId w:val="6"/>
        </w:numPr>
      </w:pPr>
      <w:bookmarkStart w:id="13" w:name="_heading=h.lnxbz9" w:colFirst="0" w:colLast="0"/>
      <w:bookmarkEnd w:id="13"/>
      <w:r>
        <w:lastRenderedPageBreak/>
        <w:t>Előrejelzés ANN módszerekkel</w:t>
      </w:r>
    </w:p>
    <w:p w14:paraId="73AED9E8" w14:textId="77777777" w:rsidR="006A5EB3" w:rsidRDefault="00000000">
      <w:pPr>
        <w:pStyle w:val="Heading2"/>
        <w:numPr>
          <w:ilvl w:val="1"/>
          <w:numId w:val="6"/>
        </w:numPr>
      </w:pPr>
      <w:bookmarkStart w:id="14" w:name="_heading=h.35nkun2" w:colFirst="0" w:colLast="0"/>
      <w:bookmarkEnd w:id="14"/>
      <w:r>
        <w:t xml:space="preserve"> MLP</w:t>
      </w:r>
    </w:p>
    <w:p w14:paraId="15EA809C" w14:textId="77777777" w:rsidR="006A5EB3" w:rsidRDefault="00000000">
      <w:pPr>
        <w:pStyle w:val="Heading2"/>
        <w:numPr>
          <w:ilvl w:val="1"/>
          <w:numId w:val="6"/>
        </w:numPr>
      </w:pPr>
      <w:bookmarkStart w:id="15" w:name="_heading=h.acc5d7fcxfdi" w:colFirst="0" w:colLast="0"/>
      <w:bookmarkEnd w:id="15"/>
      <w:r>
        <w:t xml:space="preserve"> CNN</w:t>
      </w:r>
    </w:p>
    <w:p w14:paraId="25969B21" w14:textId="11B2651B" w:rsidR="00DB14CE" w:rsidRPr="00DB14CE" w:rsidRDefault="00B3393E" w:rsidP="00DB14CE">
      <w:pPr>
        <w:pStyle w:val="Heading1"/>
        <w:numPr>
          <w:ilvl w:val="0"/>
          <w:numId w:val="6"/>
        </w:numPr>
      </w:pPr>
      <w:r>
        <w:t>A Django webalkalamzás bemutatása</w:t>
      </w:r>
    </w:p>
    <w:p w14:paraId="4973405D" w14:textId="3B39B96F" w:rsidR="00B3393E" w:rsidRDefault="001804AA" w:rsidP="001804AA">
      <w:pPr>
        <w:pStyle w:val="Heading2"/>
        <w:numPr>
          <w:ilvl w:val="1"/>
          <w:numId w:val="6"/>
        </w:numPr>
      </w:pPr>
      <w:r>
        <w:t xml:space="preserve"> </w:t>
      </w:r>
      <w:r w:rsidR="00DB14CE">
        <w:t xml:space="preserve">Python </w:t>
      </w:r>
    </w:p>
    <w:p w14:paraId="48147207" w14:textId="6689EA08" w:rsidR="00DB14CE" w:rsidRDefault="001804AA" w:rsidP="001804AA">
      <w:pPr>
        <w:pStyle w:val="Heading2"/>
        <w:numPr>
          <w:ilvl w:val="1"/>
          <w:numId w:val="6"/>
        </w:numPr>
      </w:pPr>
      <w:r>
        <w:t>Django</w:t>
      </w:r>
    </w:p>
    <w:p w14:paraId="7926F4CA" w14:textId="669A69E5" w:rsidR="001804AA" w:rsidRDefault="001804AA" w:rsidP="000555D8">
      <w:pPr>
        <w:pStyle w:val="Heading2"/>
        <w:numPr>
          <w:ilvl w:val="1"/>
          <w:numId w:val="6"/>
        </w:numPr>
      </w:pPr>
      <w:r>
        <w:t>Beolvasás Excel</w:t>
      </w:r>
      <w:r w:rsidR="009B52E5">
        <w:t>-</w:t>
      </w:r>
      <w:r>
        <w:t>ből</w:t>
      </w:r>
    </w:p>
    <w:p w14:paraId="67C1FB3C" w14:textId="579A26E9" w:rsidR="00871418" w:rsidRPr="00871418" w:rsidRDefault="00871418" w:rsidP="00871418">
      <w:pPr>
        <w:pStyle w:val="Heading2"/>
        <w:ind w:firstLine="360"/>
      </w:pPr>
      <w:r>
        <w:t>5.3.1 Diagramok készítése</w:t>
      </w:r>
    </w:p>
    <w:p w14:paraId="2119673E" w14:textId="50242C6A" w:rsidR="000555D8" w:rsidRDefault="00FA2A8B" w:rsidP="00FA2A8B">
      <w:pPr>
        <w:pStyle w:val="Heading2"/>
        <w:numPr>
          <w:ilvl w:val="1"/>
          <w:numId w:val="6"/>
        </w:numPr>
      </w:pPr>
      <w:r>
        <w:t>M</w:t>
      </w:r>
      <w:r w:rsidR="000555D8">
        <w:t>utatók számítása</w:t>
      </w:r>
    </w:p>
    <w:p w14:paraId="130C0B8F" w14:textId="0B09C149" w:rsidR="00FA2A8B" w:rsidRPr="00FA2A8B" w:rsidRDefault="00FA2A8B" w:rsidP="00FA2A8B">
      <w:pPr>
        <w:pStyle w:val="Heading2"/>
        <w:ind w:firstLine="360"/>
      </w:pPr>
      <w:r>
        <w:t>5.5 ARIMA előrejelzések</w:t>
      </w:r>
    </w:p>
    <w:p w14:paraId="5DAED920" w14:textId="77777777" w:rsidR="00B3393E" w:rsidRDefault="00B3393E">
      <w:pPr>
        <w:pBdr>
          <w:top w:val="nil"/>
          <w:left w:val="nil"/>
          <w:bottom w:val="nil"/>
          <w:right w:val="nil"/>
          <w:between w:val="nil"/>
        </w:pBdr>
        <w:ind w:left="735"/>
        <w:rPr>
          <w:color w:val="000000"/>
        </w:rPr>
      </w:pPr>
    </w:p>
    <w:p w14:paraId="15F41832" w14:textId="2F15DE20" w:rsidR="00B3393E" w:rsidRPr="00B3393E" w:rsidRDefault="00000000" w:rsidP="00B3393E">
      <w:pPr>
        <w:pStyle w:val="Heading1"/>
        <w:numPr>
          <w:ilvl w:val="0"/>
          <w:numId w:val="7"/>
        </w:numPr>
      </w:pPr>
      <w:bookmarkStart w:id="16" w:name="_heading=h.44sinio" w:colFirst="0" w:colLast="0"/>
      <w:bookmarkEnd w:id="16"/>
      <w:r>
        <w:t>Következtetések</w:t>
      </w:r>
    </w:p>
    <w:p w14:paraId="042D8199" w14:textId="77777777" w:rsidR="006A5EB3" w:rsidRDefault="00000000">
      <w:pPr>
        <w:rPr>
          <w:color w:val="2F5496"/>
          <w:sz w:val="32"/>
          <w:szCs w:val="32"/>
        </w:rPr>
      </w:pPr>
      <w:r>
        <w:br w:type="page"/>
      </w:r>
    </w:p>
    <w:p w14:paraId="60D182A0" w14:textId="77777777" w:rsidR="006A5EB3" w:rsidRDefault="00000000">
      <w:pPr>
        <w:pStyle w:val="Heading1"/>
      </w:pPr>
      <w:bookmarkStart w:id="17" w:name="_heading=h.2jxsxqh" w:colFirst="0" w:colLast="0"/>
      <w:bookmarkEnd w:id="17"/>
      <w:r>
        <w:lastRenderedPageBreak/>
        <w:t>5. Irodalomjegyzék</w:t>
      </w:r>
    </w:p>
    <w:p w14:paraId="608D2F3B" w14:textId="77777777" w:rsidR="006A5EB3" w:rsidRDefault="00000000">
      <w:pPr>
        <w:pBdr>
          <w:top w:val="nil"/>
          <w:left w:val="nil"/>
          <w:bottom w:val="nil"/>
          <w:right w:val="nil"/>
          <w:between w:val="nil"/>
        </w:pBdr>
        <w:ind w:left="720" w:hanging="720"/>
        <w:rPr>
          <w:color w:val="000000"/>
        </w:rPr>
      </w:pPr>
      <w:r>
        <w:rPr>
          <w:color w:val="000000"/>
        </w:rPr>
        <w:t xml:space="preserve">Batuhan TUFANER, M., &amp; SÖZEN, İ. (2021). Forecasting Unemployment Rate in the Aftermath of the Covid-19 Pandemic: The Turkish Case. </w:t>
      </w:r>
      <w:r>
        <w:rPr>
          <w:i/>
          <w:color w:val="000000"/>
        </w:rPr>
        <w:t>İzmir Journal of Economics</w:t>
      </w:r>
      <w:r>
        <w:rPr>
          <w:color w:val="000000"/>
        </w:rPr>
        <w:t>, Volume: 36 Issue: 3, 685 - 693, 02.09.2021.</w:t>
      </w:r>
    </w:p>
    <w:p w14:paraId="2359D4FC" w14:textId="77777777" w:rsidR="006A5EB3" w:rsidRDefault="00000000">
      <w:pPr>
        <w:pBdr>
          <w:top w:val="nil"/>
          <w:left w:val="nil"/>
          <w:bottom w:val="nil"/>
          <w:right w:val="nil"/>
          <w:between w:val="nil"/>
        </w:pBdr>
        <w:ind w:left="720" w:hanging="720"/>
        <w:rPr>
          <w:color w:val="000000"/>
        </w:rPr>
      </w:pPr>
      <w:r>
        <w:rPr>
          <w:color w:val="000000"/>
        </w:rPr>
        <w:t xml:space="preserve">Davidescu, A. A., Apostu, S.-A., &amp; Paul, A. (2021. március 9). Comparative Analysis of Different Univariate Forecasting Methods in Modelling and Predicting the Romanian Unemployment Rate for the Period 2021–2022. </w:t>
      </w:r>
      <w:r>
        <w:rPr>
          <w:i/>
          <w:color w:val="000000"/>
        </w:rPr>
        <w:t>Entropy, 23 (3)</w:t>
      </w:r>
      <w:r>
        <w:rPr>
          <w:color w:val="000000"/>
        </w:rPr>
        <w:t>, 325.</w:t>
      </w:r>
    </w:p>
    <w:p w14:paraId="484C8643" w14:textId="77777777" w:rsidR="006A5EB3" w:rsidRDefault="00000000">
      <w:pPr>
        <w:pBdr>
          <w:top w:val="nil"/>
          <w:left w:val="nil"/>
          <w:bottom w:val="nil"/>
          <w:right w:val="nil"/>
          <w:between w:val="nil"/>
        </w:pBdr>
        <w:ind w:left="720" w:hanging="720"/>
        <w:rPr>
          <w:color w:val="000000"/>
        </w:rPr>
      </w:pPr>
      <w:r>
        <w:rPr>
          <w:color w:val="000000"/>
        </w:rPr>
        <w:t xml:space="preserve">Georgeta, E. S. (2015). The economic and social situation in Romania. Európai Unió: European Economic and Social Committee. </w:t>
      </w:r>
    </w:p>
    <w:p w14:paraId="3AC79374" w14:textId="77777777" w:rsidR="006A5EB3" w:rsidRDefault="00000000">
      <w:pPr>
        <w:pBdr>
          <w:top w:val="nil"/>
          <w:left w:val="nil"/>
          <w:bottom w:val="nil"/>
          <w:right w:val="nil"/>
          <w:between w:val="nil"/>
        </w:pBdr>
        <w:ind w:left="720" w:hanging="720"/>
        <w:rPr>
          <w:color w:val="000000"/>
        </w:rPr>
      </w:pPr>
      <w:r>
        <w:rPr>
          <w:color w:val="000000"/>
        </w:rPr>
        <w:t xml:space="preserve">Madaras. (2014). A gazdasági válság hatása a munkanélküliség alakulására országos és megyei szinten Romániában. </w:t>
      </w:r>
      <w:r>
        <w:rPr>
          <w:i/>
          <w:color w:val="000000"/>
        </w:rPr>
        <w:t>Közgazdász Fórum, 17 (1-2)</w:t>
      </w:r>
      <w:r>
        <w:rPr>
          <w:color w:val="000000"/>
        </w:rPr>
        <w:t>, 136-149.</w:t>
      </w:r>
    </w:p>
    <w:p w14:paraId="15709E30" w14:textId="77777777" w:rsidR="006A5EB3" w:rsidRDefault="00000000">
      <w:pPr>
        <w:pBdr>
          <w:top w:val="nil"/>
          <w:left w:val="nil"/>
          <w:bottom w:val="nil"/>
          <w:right w:val="nil"/>
          <w:between w:val="nil"/>
        </w:pBdr>
        <w:ind w:left="720" w:hanging="720"/>
        <w:rPr>
          <w:color w:val="000000"/>
        </w:rPr>
      </w:pPr>
      <w:r>
        <w:rPr>
          <w:color w:val="000000"/>
        </w:rPr>
        <w:t xml:space="preserve">Madaras, S. (2018). Forecasting the regional unemployment rate based on the Box-Jenkins methodology vs. the Artifi cial Neural Network approach. Case study of Brașov and Harghita counties. </w:t>
      </w:r>
      <w:r>
        <w:rPr>
          <w:i/>
          <w:color w:val="000000"/>
        </w:rPr>
        <w:t>Közgazdász Fórum (Forum on Economics and Business)</w:t>
      </w:r>
      <w:r>
        <w:rPr>
          <w:color w:val="000000"/>
        </w:rPr>
        <w:t>, 66.</w:t>
      </w:r>
    </w:p>
    <w:p w14:paraId="1C715123" w14:textId="77777777" w:rsidR="006A5EB3" w:rsidRDefault="00000000">
      <w:pPr>
        <w:pBdr>
          <w:top w:val="nil"/>
          <w:left w:val="nil"/>
          <w:bottom w:val="nil"/>
          <w:right w:val="nil"/>
          <w:between w:val="nil"/>
        </w:pBdr>
        <w:ind w:left="720" w:hanging="720"/>
        <w:rPr>
          <w:color w:val="000000"/>
        </w:rPr>
      </w:pPr>
      <w:r>
        <w:rPr>
          <w:color w:val="000000"/>
        </w:rPr>
        <w:t>Mulaudzi, R., &amp; Ajoodha, R. (2020). An Exploration of Machine Learning Models to Forecast the Unemployment Rate of South Africa: A Univariate Approach. IEEE.</w:t>
      </w:r>
    </w:p>
    <w:p w14:paraId="424259F2" w14:textId="77777777" w:rsidR="006A5EB3" w:rsidRDefault="00000000">
      <w:pPr>
        <w:pBdr>
          <w:top w:val="nil"/>
          <w:left w:val="nil"/>
          <w:bottom w:val="nil"/>
          <w:right w:val="nil"/>
          <w:between w:val="nil"/>
        </w:pBdr>
        <w:ind w:left="720" w:hanging="720"/>
        <w:rPr>
          <w:color w:val="000000"/>
        </w:rPr>
      </w:pPr>
      <w:r>
        <w:rPr>
          <w:color w:val="000000"/>
        </w:rPr>
        <w:t xml:space="preserve">Sándor, Z. (2019). </w:t>
      </w:r>
      <w:r>
        <w:rPr>
          <w:i/>
          <w:color w:val="000000"/>
        </w:rPr>
        <w:t>Bevezetés az ökonometriába.</w:t>
      </w:r>
      <w:r>
        <w:rPr>
          <w:color w:val="000000"/>
        </w:rPr>
        <w:t xml:space="preserve"> Sepsiszentgyörgy: T3 Kiadó.</w:t>
      </w:r>
    </w:p>
    <w:p w14:paraId="06817587" w14:textId="77777777" w:rsidR="006A5EB3" w:rsidRDefault="00000000">
      <w:pPr>
        <w:pBdr>
          <w:top w:val="nil"/>
          <w:left w:val="nil"/>
          <w:bottom w:val="nil"/>
          <w:right w:val="nil"/>
          <w:between w:val="nil"/>
        </w:pBdr>
        <w:ind w:left="720" w:hanging="720"/>
        <w:rPr>
          <w:color w:val="000000"/>
        </w:rPr>
      </w:pPr>
      <w:r>
        <w:rPr>
          <w:color w:val="000000"/>
        </w:rPr>
        <w:t xml:space="preserve">Sándor, Z., &amp; Tánczos, L. J. (2019). </w:t>
      </w:r>
      <w:r>
        <w:rPr>
          <w:i/>
          <w:color w:val="000000"/>
        </w:rPr>
        <w:t>Gazdasági statisztika jegyzet.</w:t>
      </w:r>
      <w:r>
        <w:rPr>
          <w:color w:val="000000"/>
        </w:rPr>
        <w:t xml:space="preserve"> Sepsiszentgyörgy: T3 Kiadó.</w:t>
      </w:r>
    </w:p>
    <w:p w14:paraId="2F868300" w14:textId="77777777" w:rsidR="006A5EB3" w:rsidRDefault="006A5EB3"/>
    <w:p w14:paraId="565C715D" w14:textId="77777777" w:rsidR="006A5EB3" w:rsidRDefault="006A5EB3"/>
    <w:sectPr w:rsidR="006A5EB3">
      <w:headerReference w:type="default" r:id="rId16"/>
      <w:footerReference w:type="default" r:id="rId17"/>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071A" w14:textId="77777777" w:rsidR="00A26E6A" w:rsidRDefault="00A26E6A">
      <w:pPr>
        <w:spacing w:after="0" w:line="240" w:lineRule="auto"/>
      </w:pPr>
      <w:r>
        <w:separator/>
      </w:r>
    </w:p>
  </w:endnote>
  <w:endnote w:type="continuationSeparator" w:id="0">
    <w:p w14:paraId="72BEBBFC" w14:textId="77777777" w:rsidR="00A26E6A" w:rsidRDefault="00A2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46460" w14:textId="77777777" w:rsidR="00A26E6A" w:rsidRDefault="00A26E6A">
      <w:pPr>
        <w:spacing w:after="0" w:line="240" w:lineRule="auto"/>
      </w:pPr>
      <w:r>
        <w:separator/>
      </w:r>
    </w:p>
  </w:footnote>
  <w:footnote w:type="continuationSeparator" w:id="0">
    <w:p w14:paraId="066F3706" w14:textId="77777777" w:rsidR="00A26E6A" w:rsidRDefault="00A26E6A">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681351579">
    <w:abstractNumId w:val="0"/>
  </w:num>
  <w:num w:numId="2" w16cid:durableId="712536500">
    <w:abstractNumId w:val="4"/>
  </w:num>
  <w:num w:numId="3" w16cid:durableId="1359158703">
    <w:abstractNumId w:val="1"/>
  </w:num>
  <w:num w:numId="4" w16cid:durableId="456029440">
    <w:abstractNumId w:val="2"/>
  </w:num>
  <w:num w:numId="5" w16cid:durableId="438724154">
    <w:abstractNumId w:val="3"/>
  </w:num>
  <w:num w:numId="6" w16cid:durableId="829175598">
    <w:abstractNumId w:val="6"/>
  </w:num>
  <w:num w:numId="7" w16cid:durableId="557008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555D8"/>
    <w:rsid w:val="00127832"/>
    <w:rsid w:val="001804AA"/>
    <w:rsid w:val="00322338"/>
    <w:rsid w:val="00394352"/>
    <w:rsid w:val="003B0BF8"/>
    <w:rsid w:val="006A5EB3"/>
    <w:rsid w:val="007E2C77"/>
    <w:rsid w:val="00871418"/>
    <w:rsid w:val="008B0253"/>
    <w:rsid w:val="008C27C5"/>
    <w:rsid w:val="00900036"/>
    <w:rsid w:val="009B52E5"/>
    <w:rsid w:val="00A26E6A"/>
    <w:rsid w:val="00A77B79"/>
    <w:rsid w:val="00AA781E"/>
    <w:rsid w:val="00B3393E"/>
    <w:rsid w:val="00C8543E"/>
    <w:rsid w:val="00CD1861"/>
    <w:rsid w:val="00CF3A9A"/>
    <w:rsid w:val="00D81812"/>
    <w:rsid w:val="00DB14CE"/>
    <w:rsid w:val="00EB6449"/>
    <w:rsid w:val="00FA2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28D"/>
  </w:style>
  <w:style w:type="paragraph" w:styleId="Heading1">
    <w:name w:val="heading 1"/>
    <w:basedOn w:val="Normal"/>
    <w:next w:val="Normal"/>
    <w:link w:val="Heading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7343D1"/>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7343D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343D1"/>
    <w:rPr>
      <w:rFonts w:ascii="Times New Roman" w:eastAsiaTheme="majorEastAsia" w:hAnsi="Times New Roman" w:cstheme="majorBidi"/>
      <w:color w:val="2F5496" w:themeColor="accent1" w:themeShade="BF"/>
      <w:sz w:val="28"/>
      <w:szCs w:val="26"/>
    </w:rPr>
  </w:style>
  <w:style w:type="paragraph" w:styleId="Header">
    <w:name w:val="header"/>
    <w:basedOn w:val="Normal"/>
    <w:link w:val="HeaderChar"/>
    <w:uiPriority w:val="99"/>
    <w:unhideWhenUsed/>
    <w:rsid w:val="009D13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3BB"/>
    <w:rPr>
      <w:rFonts w:ascii="Times New Roman" w:hAnsi="Times New Roman"/>
      <w:sz w:val="24"/>
    </w:rPr>
  </w:style>
  <w:style w:type="paragraph" w:styleId="Footer">
    <w:name w:val="footer"/>
    <w:basedOn w:val="Normal"/>
    <w:link w:val="FooterChar"/>
    <w:uiPriority w:val="99"/>
    <w:unhideWhenUsed/>
    <w:rsid w:val="009D13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3BB"/>
    <w:rPr>
      <w:rFonts w:ascii="Times New Roman" w:hAnsi="Times New Roman"/>
      <w:sz w:val="24"/>
    </w:rPr>
  </w:style>
  <w:style w:type="paragraph" w:styleId="ListParagraph">
    <w:name w:val="List Paragraph"/>
    <w:basedOn w:val="Normal"/>
    <w:uiPriority w:val="34"/>
    <w:qFormat/>
    <w:rsid w:val="003026B1"/>
    <w:pPr>
      <w:ind w:left="720"/>
      <w:contextualSpacing/>
    </w:pPr>
  </w:style>
  <w:style w:type="paragraph" w:styleId="FootnoteText">
    <w:name w:val="footnote text"/>
    <w:basedOn w:val="Normal"/>
    <w:link w:val="FootnoteTextChar"/>
    <w:uiPriority w:val="99"/>
    <w:semiHidden/>
    <w:unhideWhenUsed/>
    <w:rsid w:val="004D0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08A5"/>
    <w:rPr>
      <w:rFonts w:ascii="Times New Roman" w:hAnsi="Times New Roman"/>
      <w:sz w:val="20"/>
      <w:szCs w:val="20"/>
    </w:rPr>
  </w:style>
  <w:style w:type="character" w:styleId="FootnoteReference">
    <w:name w:val="footnote reference"/>
    <w:basedOn w:val="DefaultParagraphFont"/>
    <w:uiPriority w:val="99"/>
    <w:semiHidden/>
    <w:unhideWhenUsed/>
    <w:rsid w:val="004D08A5"/>
    <w:rPr>
      <w:vertAlign w:val="superscript"/>
    </w:rPr>
  </w:style>
  <w:style w:type="character" w:styleId="PlaceholderText">
    <w:name w:val="Placeholder Text"/>
    <w:basedOn w:val="DefaultParagraphFont"/>
    <w:uiPriority w:val="99"/>
    <w:semiHidden/>
    <w:rsid w:val="008E15F4"/>
    <w:rPr>
      <w:color w:val="666666"/>
    </w:rPr>
  </w:style>
  <w:style w:type="paragraph" w:styleId="Caption">
    <w:name w:val="caption"/>
    <w:basedOn w:val="Normal"/>
    <w:next w:val="Normal"/>
    <w:uiPriority w:val="35"/>
    <w:unhideWhenUsed/>
    <w:qFormat/>
    <w:rsid w:val="00892C77"/>
    <w:pPr>
      <w:spacing w:after="200" w:line="240" w:lineRule="auto"/>
    </w:pPr>
    <w:rPr>
      <w:i/>
      <w:iCs/>
      <w:color w:val="44546A" w:themeColor="text2"/>
      <w:sz w:val="18"/>
      <w:szCs w:val="18"/>
    </w:rPr>
  </w:style>
  <w:style w:type="table" w:styleId="TableGrid">
    <w:name w:val="Table Grid"/>
    <w:basedOn w:val="TableNormal"/>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0B10"/>
    <w:rPr>
      <w:sz w:val="16"/>
      <w:szCs w:val="16"/>
    </w:rPr>
  </w:style>
  <w:style w:type="paragraph" w:styleId="CommentText">
    <w:name w:val="annotation text"/>
    <w:basedOn w:val="Normal"/>
    <w:link w:val="CommentTextChar"/>
    <w:uiPriority w:val="99"/>
    <w:semiHidden/>
    <w:unhideWhenUsed/>
    <w:rsid w:val="00E30B10"/>
    <w:pPr>
      <w:spacing w:line="240" w:lineRule="auto"/>
    </w:pPr>
    <w:rPr>
      <w:sz w:val="20"/>
      <w:szCs w:val="20"/>
    </w:rPr>
  </w:style>
  <w:style w:type="character" w:customStyle="1" w:styleId="CommentTextChar">
    <w:name w:val="Comment Text Char"/>
    <w:basedOn w:val="DefaultParagraphFont"/>
    <w:link w:val="CommentText"/>
    <w:uiPriority w:val="99"/>
    <w:semiHidden/>
    <w:rsid w:val="00E30B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B10"/>
    <w:rPr>
      <w:b/>
      <w:bCs/>
    </w:rPr>
  </w:style>
  <w:style w:type="character" w:customStyle="1" w:styleId="CommentSubjectChar">
    <w:name w:val="Comment Subject Char"/>
    <w:basedOn w:val="CommentTextChar"/>
    <w:link w:val="CommentSubject"/>
    <w:uiPriority w:val="99"/>
    <w:semiHidden/>
    <w:rsid w:val="00E30B10"/>
    <w:rPr>
      <w:rFonts w:ascii="Times New Roman" w:hAnsi="Times New Roman"/>
      <w:b/>
      <w:bCs/>
      <w:sz w:val="20"/>
      <w:szCs w:val="20"/>
    </w:rPr>
  </w:style>
  <w:style w:type="paragraph" w:styleId="Revision">
    <w:name w:val="Revision"/>
    <w:hidden/>
    <w:uiPriority w:val="99"/>
    <w:semiHidden/>
    <w:rsid w:val="00F9239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57A3A"/>
    <w:pPr>
      <w:spacing w:line="259" w:lineRule="auto"/>
      <w:outlineLvl w:val="9"/>
    </w:pPr>
    <w:rPr>
      <w:rFonts w:asciiTheme="majorHAnsi" w:hAnsiTheme="majorHAnsi"/>
    </w:rPr>
  </w:style>
  <w:style w:type="paragraph" w:styleId="TOC1">
    <w:name w:val="toc 1"/>
    <w:basedOn w:val="Normal"/>
    <w:next w:val="Normal"/>
    <w:autoRedefine/>
    <w:uiPriority w:val="39"/>
    <w:unhideWhenUsed/>
    <w:rsid w:val="00557A3A"/>
    <w:pPr>
      <w:spacing w:after="100"/>
    </w:pPr>
  </w:style>
  <w:style w:type="paragraph" w:styleId="TOC2">
    <w:name w:val="toc 2"/>
    <w:basedOn w:val="Normal"/>
    <w:next w:val="Normal"/>
    <w:autoRedefine/>
    <w:uiPriority w:val="39"/>
    <w:unhideWhenUsed/>
    <w:rsid w:val="00D172A9"/>
    <w:pPr>
      <w:tabs>
        <w:tab w:val="left" w:pos="1100"/>
        <w:tab w:val="right" w:leader="dot" w:pos="9062"/>
      </w:tabs>
      <w:spacing w:after="100"/>
      <w:ind w:left="567" w:hanging="327"/>
    </w:pPr>
  </w:style>
  <w:style w:type="character" w:styleId="Hyperlink">
    <w:name w:val="Hyperlink"/>
    <w:basedOn w:val="DefaultParagraphFont"/>
    <w:uiPriority w:val="99"/>
    <w:unhideWhenUsed/>
    <w:rsid w:val="00557A3A"/>
    <w:rPr>
      <w:color w:val="0563C1" w:themeColor="hyperlink"/>
      <w:u w:val="single"/>
    </w:rPr>
  </w:style>
  <w:style w:type="paragraph" w:styleId="Bibliography">
    <w:name w:val="Bibliography"/>
    <w:basedOn w:val="Normal"/>
    <w:next w:val="Norma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22</cp:revision>
  <dcterms:created xsi:type="dcterms:W3CDTF">2023-10-31T13:01:00Z</dcterms:created>
  <dcterms:modified xsi:type="dcterms:W3CDTF">2024-01-29T19:00:00Z</dcterms:modified>
</cp:coreProperties>
</file>