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1F36" w14:textId="77777777" w:rsidR="00D259FB" w:rsidRPr="00D259FB" w:rsidRDefault="00D259FB" w:rsidP="00D259FB">
      <w:pPr>
        <w:rPr>
          <w:b/>
          <w:bCs/>
        </w:rPr>
      </w:pPr>
      <w:r w:rsidRPr="00D259FB">
        <w:rPr>
          <w:b/>
          <w:bCs/>
        </w:rPr>
        <w:t>AML Transactions and Fraud Analysis Report</w:t>
      </w:r>
    </w:p>
    <w:p w14:paraId="2A45AF1E" w14:textId="77777777" w:rsidR="00D259FB" w:rsidRPr="00D259FB" w:rsidRDefault="00D259FB" w:rsidP="00D259FB">
      <w:pPr>
        <w:rPr>
          <w:b/>
          <w:bCs/>
        </w:rPr>
      </w:pPr>
      <w:r w:rsidRPr="00D259FB">
        <w:rPr>
          <w:b/>
          <w:bCs/>
        </w:rPr>
        <w:t>1. Executive Summary</w:t>
      </w:r>
    </w:p>
    <w:p w14:paraId="4E5BEE0F" w14:textId="77777777" w:rsidR="00D259FB" w:rsidRPr="00D259FB" w:rsidRDefault="00D259FB" w:rsidP="00D259FB">
      <w:r w:rsidRPr="00D259FB">
        <w:t>This report summarizes what the dashboard shows about transaction activity and fraud in an anti-money-laundering (AML) dataset. The data covers roughly 10,000 accounts and a little over a million transactions worth about 153.48 billion in total (the currency is not stated on the dashboard).</w:t>
      </w:r>
    </w:p>
    <w:p w14:paraId="37C89F53" w14:textId="77777777" w:rsidR="00D259FB" w:rsidRPr="00D259FB" w:rsidRDefault="00D259FB" w:rsidP="00D259FB">
      <w:r w:rsidRPr="00D259FB">
        <w:t xml:space="preserve">The headline finding is that fraud is rare but structured. Only about 0.13% of transactions are flagged as fraudulent (roughly 2,000 transactions), and every flagged case is tied to one of two alert patterns: </w:t>
      </w:r>
      <w:r w:rsidRPr="00D259FB">
        <w:rPr>
          <w:b/>
          <w:bCs/>
        </w:rPr>
        <w:t>cycle</w:t>
      </w:r>
      <w:r w:rsidRPr="00D259FB">
        <w:t xml:space="preserve"> (about 935 alerts) and </w:t>
      </w:r>
      <w:proofErr w:type="spellStart"/>
      <w:r w:rsidRPr="00D259FB">
        <w:rPr>
          <w:b/>
          <w:bCs/>
        </w:rPr>
        <w:t>fan_in</w:t>
      </w:r>
      <w:proofErr w:type="spellEnd"/>
      <w:r w:rsidRPr="00D259FB">
        <w:t xml:space="preserve"> (about 780 alerts). Overall transaction value is stable over time after an initial ramp-up, and fraudulent activity shows no clear trend.</w:t>
      </w:r>
    </w:p>
    <w:p w14:paraId="2694FFE1" w14:textId="77777777" w:rsidR="00D259FB" w:rsidRPr="00D259FB" w:rsidRDefault="00D259FB" w:rsidP="00D259FB">
      <w:pPr>
        <w:rPr>
          <w:b/>
          <w:bCs/>
        </w:rPr>
      </w:pPr>
      <w:r w:rsidRPr="00D259FB">
        <w:rPr>
          <w:b/>
          <w:bCs/>
        </w:rPr>
        <w:t>2. Dataset and Scope</w:t>
      </w:r>
    </w:p>
    <w:p w14:paraId="3D293494" w14:textId="77777777" w:rsidR="00D259FB" w:rsidRPr="00D259FB" w:rsidRDefault="00D259FB" w:rsidP="00D259FB">
      <w:r w:rsidRPr="00D259FB">
        <w:t>The dashboard has four main areas: headline KPI cards, two time-series charts (all transactions and fraudulent transactions), two fraud-status charts (a donut and a bar chart), and an alert-type chart. A later version of the dashboard adds two slicers, Fraud Status (False/True) and Alert Type (Blank/</w:t>
      </w:r>
      <w:proofErr w:type="spellStart"/>
      <w:r w:rsidRPr="00D259FB">
        <w:t>fan_in</w:t>
      </w:r>
      <w:proofErr w:type="spellEnd"/>
      <w:r w:rsidRPr="00D259FB">
        <w:t>/cycle), so every visual can be filtered.</w:t>
      </w:r>
    </w:p>
    <w:p w14:paraId="70D2E36F" w14:textId="77777777" w:rsidR="00D259FB" w:rsidRPr="00D259FB" w:rsidRDefault="00D259FB" w:rsidP="00D259FB">
      <w:r w:rsidRPr="00D259FB">
        <w:t>The time axis runs from 0 to 200 and looks like sequential time steps rather than calendar dates. The alert types (fan-in and cycle) are classic AML typologies, and the dataset looks like a simulated AML dataset rather than real bank data. This is an inference from the dashboard, not something it states.</w:t>
      </w:r>
    </w:p>
    <w:p w14:paraId="656C1913" w14:textId="77777777" w:rsidR="00D259FB" w:rsidRPr="00D259FB" w:rsidRDefault="00D259FB" w:rsidP="00D259FB">
      <w:pPr>
        <w:rPr>
          <w:b/>
          <w:bCs/>
        </w:rPr>
      </w:pPr>
      <w:r w:rsidRPr="00D259FB">
        <w:rPr>
          <w:b/>
          <w:bCs/>
        </w:rPr>
        <w:t>3.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905"/>
        <w:gridCol w:w="5056"/>
      </w:tblGrid>
      <w:tr w:rsidR="00D259FB" w:rsidRPr="00D259FB" w14:paraId="63C1BAE6" w14:textId="77777777">
        <w:trPr>
          <w:tblCellSpacing w:w="15" w:type="dxa"/>
        </w:trPr>
        <w:tc>
          <w:tcPr>
            <w:tcW w:w="0" w:type="auto"/>
            <w:vAlign w:val="center"/>
            <w:hideMark/>
          </w:tcPr>
          <w:p w14:paraId="7F0AE290" w14:textId="77777777" w:rsidR="00D259FB" w:rsidRPr="00D259FB" w:rsidRDefault="00D259FB" w:rsidP="00D259FB">
            <w:pPr>
              <w:rPr>
                <w:b/>
                <w:bCs/>
              </w:rPr>
            </w:pPr>
            <w:r w:rsidRPr="00D259FB">
              <w:rPr>
                <w:b/>
                <w:bCs/>
              </w:rPr>
              <w:t>Metric</w:t>
            </w:r>
          </w:p>
        </w:tc>
        <w:tc>
          <w:tcPr>
            <w:tcW w:w="0" w:type="auto"/>
            <w:vAlign w:val="center"/>
            <w:hideMark/>
          </w:tcPr>
          <w:p w14:paraId="5FA2A765" w14:textId="77777777" w:rsidR="00D259FB" w:rsidRPr="00D259FB" w:rsidRDefault="00D259FB" w:rsidP="00D259FB">
            <w:pPr>
              <w:rPr>
                <w:b/>
                <w:bCs/>
              </w:rPr>
            </w:pPr>
            <w:r w:rsidRPr="00D259FB">
              <w:rPr>
                <w:b/>
                <w:bCs/>
              </w:rPr>
              <w:t>Value</w:t>
            </w:r>
          </w:p>
        </w:tc>
        <w:tc>
          <w:tcPr>
            <w:tcW w:w="0" w:type="auto"/>
            <w:vAlign w:val="center"/>
            <w:hideMark/>
          </w:tcPr>
          <w:p w14:paraId="7DFCBBE8" w14:textId="77777777" w:rsidR="00D259FB" w:rsidRPr="00D259FB" w:rsidRDefault="00D259FB" w:rsidP="00D259FB">
            <w:pPr>
              <w:rPr>
                <w:b/>
                <w:bCs/>
              </w:rPr>
            </w:pPr>
            <w:r w:rsidRPr="00D259FB">
              <w:rPr>
                <w:b/>
                <w:bCs/>
              </w:rPr>
              <w:t>Comment</w:t>
            </w:r>
          </w:p>
        </w:tc>
      </w:tr>
      <w:tr w:rsidR="00D259FB" w:rsidRPr="00D259FB" w14:paraId="64FAA4DE" w14:textId="77777777">
        <w:trPr>
          <w:tblCellSpacing w:w="15" w:type="dxa"/>
        </w:trPr>
        <w:tc>
          <w:tcPr>
            <w:tcW w:w="0" w:type="auto"/>
            <w:vAlign w:val="center"/>
            <w:hideMark/>
          </w:tcPr>
          <w:p w14:paraId="1A2C0111" w14:textId="77777777" w:rsidR="00D259FB" w:rsidRPr="00D259FB" w:rsidRDefault="00D259FB" w:rsidP="00D259FB">
            <w:r w:rsidRPr="00D259FB">
              <w:t>Total transaction amount</w:t>
            </w:r>
          </w:p>
        </w:tc>
        <w:tc>
          <w:tcPr>
            <w:tcW w:w="0" w:type="auto"/>
            <w:vAlign w:val="center"/>
            <w:hideMark/>
          </w:tcPr>
          <w:p w14:paraId="2531B827" w14:textId="77777777" w:rsidR="00D259FB" w:rsidRPr="00D259FB" w:rsidRDefault="00D259FB" w:rsidP="00D259FB">
            <w:r w:rsidRPr="00D259FB">
              <w:t>153.48bn</w:t>
            </w:r>
          </w:p>
        </w:tc>
        <w:tc>
          <w:tcPr>
            <w:tcW w:w="0" w:type="auto"/>
            <w:vAlign w:val="center"/>
            <w:hideMark/>
          </w:tcPr>
          <w:p w14:paraId="7F7274E0" w14:textId="77777777" w:rsidR="00D259FB" w:rsidRPr="00D259FB" w:rsidRDefault="00D259FB" w:rsidP="00D259FB">
            <w:r w:rsidRPr="00D259FB">
              <w:t>Currency and unit not labelled</w:t>
            </w:r>
          </w:p>
        </w:tc>
      </w:tr>
      <w:tr w:rsidR="00D259FB" w:rsidRPr="00D259FB" w14:paraId="067B3CFC" w14:textId="77777777">
        <w:trPr>
          <w:tblCellSpacing w:w="15" w:type="dxa"/>
        </w:trPr>
        <w:tc>
          <w:tcPr>
            <w:tcW w:w="0" w:type="auto"/>
            <w:vAlign w:val="center"/>
            <w:hideMark/>
          </w:tcPr>
          <w:p w14:paraId="7E93BD46" w14:textId="77777777" w:rsidR="00D259FB" w:rsidRPr="00D259FB" w:rsidRDefault="00D259FB" w:rsidP="00D259FB">
            <w:r w:rsidRPr="00D259FB">
              <w:t>Total transactions</w:t>
            </w:r>
          </w:p>
        </w:tc>
        <w:tc>
          <w:tcPr>
            <w:tcW w:w="0" w:type="auto"/>
            <w:vAlign w:val="center"/>
            <w:hideMark/>
          </w:tcPr>
          <w:p w14:paraId="04D12477" w14:textId="77777777" w:rsidR="00D259FB" w:rsidRPr="00D259FB" w:rsidRDefault="00D259FB" w:rsidP="00D259FB">
            <w:r w:rsidRPr="00D259FB">
              <w:t>~1M</w:t>
            </w:r>
          </w:p>
        </w:tc>
        <w:tc>
          <w:tcPr>
            <w:tcW w:w="0" w:type="auto"/>
            <w:vAlign w:val="center"/>
            <w:hideMark/>
          </w:tcPr>
          <w:p w14:paraId="66708A6C" w14:textId="77777777" w:rsidR="00D259FB" w:rsidRPr="00D259FB" w:rsidRDefault="00D259FB" w:rsidP="00D259FB">
            <w:r w:rsidRPr="00D259FB">
              <w:t>Bar chart shows 1.32M, so the card is probably rounded</w:t>
            </w:r>
          </w:p>
        </w:tc>
      </w:tr>
      <w:tr w:rsidR="00D259FB" w:rsidRPr="00D259FB" w14:paraId="5D402F66" w14:textId="77777777">
        <w:trPr>
          <w:tblCellSpacing w:w="15" w:type="dxa"/>
        </w:trPr>
        <w:tc>
          <w:tcPr>
            <w:tcW w:w="0" w:type="auto"/>
            <w:vAlign w:val="center"/>
            <w:hideMark/>
          </w:tcPr>
          <w:p w14:paraId="40DF4AAA" w14:textId="77777777" w:rsidR="00D259FB" w:rsidRPr="00D259FB" w:rsidRDefault="00D259FB" w:rsidP="00D259FB">
            <w:r w:rsidRPr="00D259FB">
              <w:t>Total accounts</w:t>
            </w:r>
          </w:p>
        </w:tc>
        <w:tc>
          <w:tcPr>
            <w:tcW w:w="0" w:type="auto"/>
            <w:vAlign w:val="center"/>
            <w:hideMark/>
          </w:tcPr>
          <w:p w14:paraId="514041A9" w14:textId="77777777" w:rsidR="00D259FB" w:rsidRPr="00D259FB" w:rsidRDefault="00D259FB" w:rsidP="00D259FB">
            <w:r w:rsidRPr="00D259FB">
              <w:t>~10K</w:t>
            </w:r>
          </w:p>
        </w:tc>
        <w:tc>
          <w:tcPr>
            <w:tcW w:w="0" w:type="auto"/>
            <w:vAlign w:val="center"/>
            <w:hideMark/>
          </w:tcPr>
          <w:p w14:paraId="2923CB6F" w14:textId="77777777" w:rsidR="00D259FB" w:rsidRPr="00D259FB" w:rsidRDefault="00D259FB" w:rsidP="00D259FB">
            <w:r w:rsidRPr="00D259FB">
              <w:t>Roughly 130 transactions per account on average</w:t>
            </w:r>
          </w:p>
        </w:tc>
      </w:tr>
      <w:tr w:rsidR="00D259FB" w:rsidRPr="00D259FB" w14:paraId="732E840E" w14:textId="77777777">
        <w:trPr>
          <w:tblCellSpacing w:w="15" w:type="dxa"/>
        </w:trPr>
        <w:tc>
          <w:tcPr>
            <w:tcW w:w="0" w:type="auto"/>
            <w:vAlign w:val="center"/>
            <w:hideMark/>
          </w:tcPr>
          <w:p w14:paraId="0267403D" w14:textId="77777777" w:rsidR="00D259FB" w:rsidRPr="00D259FB" w:rsidRDefault="00D259FB" w:rsidP="00D259FB">
            <w:r w:rsidRPr="00D259FB">
              <w:t>Fraudulent transactions</w:t>
            </w:r>
          </w:p>
        </w:tc>
        <w:tc>
          <w:tcPr>
            <w:tcW w:w="0" w:type="auto"/>
            <w:vAlign w:val="center"/>
            <w:hideMark/>
          </w:tcPr>
          <w:p w14:paraId="4E181204" w14:textId="77777777" w:rsidR="00D259FB" w:rsidRPr="00D259FB" w:rsidRDefault="00D259FB" w:rsidP="00D259FB">
            <w:r w:rsidRPr="00D259FB">
              <w:t>~2K</w:t>
            </w:r>
          </w:p>
        </w:tc>
        <w:tc>
          <w:tcPr>
            <w:tcW w:w="0" w:type="auto"/>
            <w:vAlign w:val="center"/>
            <w:hideMark/>
          </w:tcPr>
          <w:p w14:paraId="0C780398" w14:textId="77777777" w:rsidR="00D259FB" w:rsidRPr="00D259FB" w:rsidRDefault="00D259FB" w:rsidP="00D259FB">
            <w:r w:rsidRPr="00D259FB">
              <w:t>About 0.13% of all transactions</w:t>
            </w:r>
          </w:p>
        </w:tc>
      </w:tr>
    </w:tbl>
    <w:p w14:paraId="5A8D02DF" w14:textId="77777777" w:rsidR="00D259FB" w:rsidRPr="00D259FB" w:rsidRDefault="00D259FB" w:rsidP="00D259FB">
      <w:r w:rsidRPr="00D259FB">
        <w:t>With about 1.32M transactions, the average transaction is roughly 116,000 in value (153.48bn ÷ 1.32M). That is a rough figure derived from the cards, not a number shown on the dashboard.</w:t>
      </w:r>
    </w:p>
    <w:p w14:paraId="6EB41387" w14:textId="77777777" w:rsidR="00D259FB" w:rsidRPr="00D259FB" w:rsidRDefault="00D259FB" w:rsidP="00D259FB">
      <w:pPr>
        <w:rPr>
          <w:b/>
          <w:bCs/>
        </w:rPr>
      </w:pPr>
      <w:r w:rsidRPr="00D259FB">
        <w:rPr>
          <w:b/>
          <w:bCs/>
        </w:rPr>
        <w:t>4. Findings</w:t>
      </w:r>
    </w:p>
    <w:p w14:paraId="0D5E1F2D" w14:textId="77777777" w:rsidR="00D259FB" w:rsidRPr="00D259FB" w:rsidRDefault="00D259FB" w:rsidP="00D259FB">
      <w:pPr>
        <w:rPr>
          <w:b/>
          <w:bCs/>
        </w:rPr>
      </w:pPr>
      <w:r w:rsidRPr="00D259FB">
        <w:rPr>
          <w:b/>
          <w:bCs/>
        </w:rPr>
        <w:t>4.1 Fraud is extremely rare (class imbalance)</w:t>
      </w:r>
    </w:p>
    <w:p w14:paraId="6EDEC202" w14:textId="77777777" w:rsidR="00D259FB" w:rsidRPr="00D259FB" w:rsidRDefault="00D259FB" w:rsidP="00D259FB">
      <w:r w:rsidRPr="00D259FB">
        <w:t>The donut chart splits transactions into 99.87% non-fraud and 0.13% fraud. The bar chart tells the same story: about 1.32M non-fraud transactions against a bar for fraud that is too small to see. For any model built on this data, this is a severe class imbalance. Plain accuracy would be meaningless, since predicting “not fraud” every time would already be about 99.87% accurate. Precision, recall, F1 and PR-AUC are the metrics that matter.</w:t>
      </w:r>
    </w:p>
    <w:p w14:paraId="72C5BD8F" w14:textId="77777777" w:rsidR="00D259FB" w:rsidRPr="00D259FB" w:rsidRDefault="00D259FB" w:rsidP="00D259FB">
      <w:pPr>
        <w:rPr>
          <w:b/>
          <w:bCs/>
        </w:rPr>
      </w:pPr>
      <w:r w:rsidRPr="00D259FB">
        <w:rPr>
          <w:b/>
          <w:bCs/>
        </w:rPr>
        <w:t>4.2 Transaction value is stable after a warm-up</w:t>
      </w:r>
    </w:p>
    <w:p w14:paraId="27061A73" w14:textId="77777777" w:rsidR="00D259FB" w:rsidRPr="00D259FB" w:rsidRDefault="00D259FB" w:rsidP="00D259FB">
      <w:r w:rsidRPr="00D259FB">
        <w:t>Transaction value starts near 5K, climbs quickly over the first ~</w:t>
      </w:r>
      <w:proofErr w:type="gramStart"/>
      <w:r w:rsidRPr="00D259FB">
        <w:t>10 time</w:t>
      </w:r>
      <w:proofErr w:type="gramEnd"/>
      <w:r w:rsidRPr="00D259FB">
        <w:t xml:space="preserve"> steps, and then oscillates in a narrow band of roughly 6.3K to 7.1K through step 200. There is no upward or downward drift and no obvious spikes. The opening ramp-up most likely reflects the simulation or data collection warming up rather than real behaviour, so it may be worth excluding from trend analysis.</w:t>
      </w:r>
    </w:p>
    <w:p w14:paraId="30317F3A" w14:textId="77777777" w:rsidR="00D259FB" w:rsidRPr="00D259FB" w:rsidRDefault="00D259FB" w:rsidP="00D259FB">
      <w:pPr>
        <w:rPr>
          <w:b/>
          <w:bCs/>
        </w:rPr>
      </w:pPr>
      <w:r w:rsidRPr="00D259FB">
        <w:rPr>
          <w:b/>
          <w:bCs/>
        </w:rPr>
        <w:lastRenderedPageBreak/>
        <w:t>4.3 Fraudulent transaction value is noisy and has no trend</w:t>
      </w:r>
    </w:p>
    <w:p w14:paraId="75EA988D" w14:textId="77777777" w:rsidR="00D259FB" w:rsidRPr="00D259FB" w:rsidRDefault="00D259FB" w:rsidP="00D259FB">
      <w:r w:rsidRPr="00D259FB">
        <w:t>Fraudulent value fluctuates between near zero and about 200, mostly in the 50 to 150 range. The highest point is around step 45 at roughly 205. The series ramps up in the first ~10 steps like the overall series and then stays flat. Because the values sit far below the overall series, the chart is probably showing a different measure (for example, an average per step) than the overall chart. The dashboard should label the measure clearly.</w:t>
      </w:r>
    </w:p>
    <w:p w14:paraId="43EB5A2D" w14:textId="77777777" w:rsidR="00D259FB" w:rsidRPr="00D259FB" w:rsidRDefault="00D259FB" w:rsidP="00D259FB">
      <w:pPr>
        <w:rPr>
          <w:b/>
          <w:bCs/>
        </w:rPr>
      </w:pPr>
      <w:r w:rsidRPr="00D259FB">
        <w:rPr>
          <w:b/>
          <w:bCs/>
        </w:rPr>
        <w:t>4.4 Alerts split between two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345"/>
        <w:gridCol w:w="593"/>
      </w:tblGrid>
      <w:tr w:rsidR="00D259FB" w:rsidRPr="00D259FB" w14:paraId="2627E595" w14:textId="77777777">
        <w:trPr>
          <w:tblCellSpacing w:w="15" w:type="dxa"/>
        </w:trPr>
        <w:tc>
          <w:tcPr>
            <w:tcW w:w="0" w:type="auto"/>
            <w:vAlign w:val="center"/>
            <w:hideMark/>
          </w:tcPr>
          <w:p w14:paraId="36EF3B0D" w14:textId="77777777" w:rsidR="00D259FB" w:rsidRPr="00D259FB" w:rsidRDefault="00D259FB" w:rsidP="00D259FB">
            <w:pPr>
              <w:rPr>
                <w:b/>
                <w:bCs/>
              </w:rPr>
            </w:pPr>
            <w:r w:rsidRPr="00D259FB">
              <w:rPr>
                <w:b/>
                <w:bCs/>
              </w:rPr>
              <w:t>Alert type</w:t>
            </w:r>
          </w:p>
        </w:tc>
        <w:tc>
          <w:tcPr>
            <w:tcW w:w="0" w:type="auto"/>
            <w:vAlign w:val="center"/>
            <w:hideMark/>
          </w:tcPr>
          <w:p w14:paraId="12B93F3C" w14:textId="77777777" w:rsidR="00D259FB" w:rsidRPr="00D259FB" w:rsidRDefault="00D259FB" w:rsidP="00D259FB">
            <w:pPr>
              <w:rPr>
                <w:b/>
                <w:bCs/>
              </w:rPr>
            </w:pPr>
            <w:r w:rsidRPr="00D259FB">
              <w:rPr>
                <w:b/>
                <w:bCs/>
              </w:rPr>
              <w:t>Approx. alerts</w:t>
            </w:r>
          </w:p>
        </w:tc>
        <w:tc>
          <w:tcPr>
            <w:tcW w:w="0" w:type="auto"/>
            <w:vAlign w:val="center"/>
            <w:hideMark/>
          </w:tcPr>
          <w:p w14:paraId="67BBAEA5" w14:textId="77777777" w:rsidR="00D259FB" w:rsidRPr="00D259FB" w:rsidRDefault="00D259FB" w:rsidP="00D259FB">
            <w:pPr>
              <w:rPr>
                <w:b/>
                <w:bCs/>
              </w:rPr>
            </w:pPr>
            <w:r w:rsidRPr="00D259FB">
              <w:rPr>
                <w:b/>
                <w:bCs/>
              </w:rPr>
              <w:t>Share</w:t>
            </w:r>
          </w:p>
        </w:tc>
      </w:tr>
      <w:tr w:rsidR="00D259FB" w:rsidRPr="00D259FB" w14:paraId="4117A0F4" w14:textId="77777777">
        <w:trPr>
          <w:tblCellSpacing w:w="15" w:type="dxa"/>
        </w:trPr>
        <w:tc>
          <w:tcPr>
            <w:tcW w:w="0" w:type="auto"/>
            <w:vAlign w:val="center"/>
            <w:hideMark/>
          </w:tcPr>
          <w:p w14:paraId="639F3F59" w14:textId="77777777" w:rsidR="00D259FB" w:rsidRPr="00D259FB" w:rsidRDefault="00D259FB" w:rsidP="00D259FB">
            <w:r w:rsidRPr="00D259FB">
              <w:t>Cycle</w:t>
            </w:r>
          </w:p>
        </w:tc>
        <w:tc>
          <w:tcPr>
            <w:tcW w:w="0" w:type="auto"/>
            <w:vAlign w:val="center"/>
            <w:hideMark/>
          </w:tcPr>
          <w:p w14:paraId="6F4E1857" w14:textId="77777777" w:rsidR="00D259FB" w:rsidRPr="00D259FB" w:rsidRDefault="00D259FB" w:rsidP="00D259FB">
            <w:r w:rsidRPr="00D259FB">
              <w:t>~935</w:t>
            </w:r>
          </w:p>
        </w:tc>
        <w:tc>
          <w:tcPr>
            <w:tcW w:w="0" w:type="auto"/>
            <w:vAlign w:val="center"/>
            <w:hideMark/>
          </w:tcPr>
          <w:p w14:paraId="2208A7BC" w14:textId="77777777" w:rsidR="00D259FB" w:rsidRPr="00D259FB" w:rsidRDefault="00D259FB" w:rsidP="00D259FB">
            <w:r w:rsidRPr="00D259FB">
              <w:t>~55%</w:t>
            </w:r>
          </w:p>
        </w:tc>
      </w:tr>
      <w:tr w:rsidR="00D259FB" w:rsidRPr="00D259FB" w14:paraId="331B4992" w14:textId="77777777">
        <w:trPr>
          <w:tblCellSpacing w:w="15" w:type="dxa"/>
        </w:trPr>
        <w:tc>
          <w:tcPr>
            <w:tcW w:w="0" w:type="auto"/>
            <w:vAlign w:val="center"/>
            <w:hideMark/>
          </w:tcPr>
          <w:p w14:paraId="42867952" w14:textId="77777777" w:rsidR="00D259FB" w:rsidRPr="00D259FB" w:rsidRDefault="00D259FB" w:rsidP="00D259FB">
            <w:r w:rsidRPr="00D259FB">
              <w:t>Fan-in</w:t>
            </w:r>
          </w:p>
        </w:tc>
        <w:tc>
          <w:tcPr>
            <w:tcW w:w="0" w:type="auto"/>
            <w:vAlign w:val="center"/>
            <w:hideMark/>
          </w:tcPr>
          <w:p w14:paraId="3BE91FF9" w14:textId="77777777" w:rsidR="00D259FB" w:rsidRPr="00D259FB" w:rsidRDefault="00D259FB" w:rsidP="00D259FB">
            <w:r w:rsidRPr="00D259FB">
              <w:t>~780</w:t>
            </w:r>
          </w:p>
        </w:tc>
        <w:tc>
          <w:tcPr>
            <w:tcW w:w="0" w:type="auto"/>
            <w:vAlign w:val="center"/>
            <w:hideMark/>
          </w:tcPr>
          <w:p w14:paraId="797C5D7C" w14:textId="77777777" w:rsidR="00D259FB" w:rsidRPr="00D259FB" w:rsidRDefault="00D259FB" w:rsidP="00D259FB">
            <w:r w:rsidRPr="00D259FB">
              <w:t>~45%</w:t>
            </w:r>
          </w:p>
        </w:tc>
      </w:tr>
    </w:tbl>
    <w:p w14:paraId="38E232B1" w14:textId="77777777" w:rsidR="00D259FB" w:rsidRPr="00D259FB" w:rsidRDefault="00D259FB" w:rsidP="00D259FB">
      <w:r w:rsidRPr="00D259FB">
        <w:t>Together these add up to about 1,715 alerts, which closely matches 0.13% of 1.32M transactions (about 1,700). This suggests the alerts and the fraud flags are essentially the same set of cases.</w:t>
      </w:r>
    </w:p>
    <w:p w14:paraId="58BF832C" w14:textId="77777777" w:rsidR="00D259FB" w:rsidRPr="00D259FB" w:rsidRDefault="00D259FB" w:rsidP="00D259FB">
      <w:pPr>
        <w:numPr>
          <w:ilvl w:val="0"/>
          <w:numId w:val="1"/>
        </w:numPr>
      </w:pPr>
      <w:r w:rsidRPr="00D259FB">
        <w:rPr>
          <w:b/>
          <w:bCs/>
        </w:rPr>
        <w:t>Cycle</w:t>
      </w:r>
      <w:r w:rsidRPr="00D259FB">
        <w:t>: money moves through a loop of accounts and returns to its origin, a common layering technique.</w:t>
      </w:r>
    </w:p>
    <w:p w14:paraId="461804C7" w14:textId="77777777" w:rsidR="00D259FB" w:rsidRPr="00D259FB" w:rsidRDefault="00D259FB" w:rsidP="00D259FB">
      <w:pPr>
        <w:numPr>
          <w:ilvl w:val="0"/>
          <w:numId w:val="1"/>
        </w:numPr>
      </w:pPr>
      <w:r w:rsidRPr="00D259FB">
        <w:rPr>
          <w:b/>
          <w:bCs/>
        </w:rPr>
        <w:t>Fan-in</w:t>
      </w:r>
      <w:r w:rsidRPr="00D259FB">
        <w:t>: many accounts send funds into a single account, a common aggregation technique.</w:t>
      </w:r>
    </w:p>
    <w:p w14:paraId="227C1F4F" w14:textId="77777777" w:rsidR="00D259FB" w:rsidRPr="00D259FB" w:rsidRDefault="00D259FB" w:rsidP="00D259FB">
      <w:r w:rsidRPr="00D259FB">
        <w:t>Cycle is somewhat more common, but the two are close enough that neither can be ignored.</w:t>
      </w:r>
    </w:p>
    <w:p w14:paraId="0EC9EB73" w14:textId="77777777" w:rsidR="00D259FB" w:rsidRPr="00D259FB" w:rsidRDefault="00D259FB" w:rsidP="00D259FB">
      <w:pPr>
        <w:rPr>
          <w:b/>
          <w:bCs/>
        </w:rPr>
      </w:pPr>
      <w:r w:rsidRPr="00D259FB">
        <w:rPr>
          <w:b/>
          <w:bCs/>
        </w:rPr>
        <w:t>5. Data Quality and Consistency Observations</w:t>
      </w:r>
    </w:p>
    <w:p w14:paraId="735A54C5" w14:textId="77777777" w:rsidR="00D259FB" w:rsidRPr="00D259FB" w:rsidRDefault="00D259FB" w:rsidP="00D259FB">
      <w:pPr>
        <w:numPr>
          <w:ilvl w:val="0"/>
          <w:numId w:val="2"/>
        </w:numPr>
      </w:pPr>
      <w:r w:rsidRPr="00D259FB">
        <w:rPr>
          <w:b/>
          <w:bCs/>
        </w:rPr>
        <w:t>Transaction count mismatch.</w:t>
      </w:r>
      <w:r w:rsidRPr="00D259FB">
        <w:t xml:space="preserve"> The KPI card says 1M while the bar chart says 1.32M. Most likely this is rounding in the card format, but it should be fixed by showing 1.32M.</w:t>
      </w:r>
    </w:p>
    <w:p w14:paraId="6B72FA08" w14:textId="77777777" w:rsidR="00D259FB" w:rsidRPr="00D259FB" w:rsidRDefault="00D259FB" w:rsidP="00D259FB">
      <w:pPr>
        <w:numPr>
          <w:ilvl w:val="0"/>
          <w:numId w:val="2"/>
        </w:numPr>
      </w:pPr>
      <w:r w:rsidRPr="00D259FB">
        <w:rPr>
          <w:b/>
          <w:bCs/>
        </w:rPr>
        <w:t>Fraud percentage.</w:t>
      </w:r>
      <w:r w:rsidRPr="00D259FB">
        <w:t xml:space="preserve"> 2K ÷ 1M would give 0.2%, while the donut shows 0.13%. Using 1.32M as the base resolves this (about 1.7K ÷ 1.32M). The card’s “2K” is a rounded figure.</w:t>
      </w:r>
    </w:p>
    <w:p w14:paraId="34EEF779" w14:textId="77777777" w:rsidR="00D259FB" w:rsidRPr="00D259FB" w:rsidRDefault="00D259FB" w:rsidP="00D259FB">
      <w:pPr>
        <w:numPr>
          <w:ilvl w:val="0"/>
          <w:numId w:val="2"/>
        </w:numPr>
      </w:pPr>
      <w:r w:rsidRPr="00D259FB">
        <w:rPr>
          <w:b/>
          <w:bCs/>
        </w:rPr>
        <w:t>Blank alert type.</w:t>
      </w:r>
      <w:r w:rsidRPr="00D259FB">
        <w:t xml:space="preserve"> The Alert Type slicer includes a “(Blank)” value, which presumably represents transactions with no alert. This is worth confirming.</w:t>
      </w:r>
    </w:p>
    <w:p w14:paraId="4E98AC75" w14:textId="77777777" w:rsidR="00D259FB" w:rsidRPr="00D259FB" w:rsidRDefault="00D259FB" w:rsidP="00D259FB">
      <w:pPr>
        <w:numPr>
          <w:ilvl w:val="0"/>
          <w:numId w:val="2"/>
        </w:numPr>
      </w:pPr>
      <w:r w:rsidRPr="00D259FB">
        <w:rPr>
          <w:b/>
          <w:bCs/>
        </w:rPr>
        <w:t>Undefined units.</w:t>
      </w:r>
      <w:r w:rsidRPr="00D259FB">
        <w:t xml:space="preserve"> The currency, the time-step unit, and the measure behind each line chart are not labelled.</w:t>
      </w:r>
    </w:p>
    <w:p w14:paraId="521CD3A1" w14:textId="77777777" w:rsidR="00D259FB" w:rsidRPr="00D259FB" w:rsidRDefault="00D259FB" w:rsidP="00D259FB">
      <w:pPr>
        <w:rPr>
          <w:b/>
          <w:bCs/>
        </w:rPr>
      </w:pPr>
      <w:r w:rsidRPr="00D259FB">
        <w:rPr>
          <w:b/>
          <w:bCs/>
        </w:rPr>
        <w:t>6. Dashboard Design Review</w:t>
      </w:r>
    </w:p>
    <w:p w14:paraId="36EF9A23" w14:textId="77777777" w:rsidR="00D259FB" w:rsidRPr="00D259FB" w:rsidRDefault="00D259FB" w:rsidP="00D259FB">
      <w:pPr>
        <w:numPr>
          <w:ilvl w:val="0"/>
          <w:numId w:val="3"/>
        </w:numPr>
      </w:pPr>
      <w:r w:rsidRPr="00D259FB">
        <w:rPr>
          <w:b/>
          <w:bCs/>
        </w:rPr>
        <w:t>Spelling errors in titles:</w:t>
      </w:r>
      <w:r w:rsidRPr="00D259FB">
        <w:t xml:space="preserve"> “ACCORSS” should be “ACROSS”, “FRAUDELENT” should be “FRAUDULENT”, and the card label “</w:t>
      </w:r>
      <w:proofErr w:type="spellStart"/>
      <w:r w:rsidRPr="00D259FB">
        <w:t>Fradulent</w:t>
      </w:r>
      <w:proofErr w:type="spellEnd"/>
      <w:r w:rsidRPr="00D259FB">
        <w:t>” should be “Fraudulent”.</w:t>
      </w:r>
    </w:p>
    <w:p w14:paraId="20F8F19B" w14:textId="77777777" w:rsidR="00D259FB" w:rsidRPr="00D259FB" w:rsidRDefault="00D259FB" w:rsidP="00D259FB">
      <w:pPr>
        <w:numPr>
          <w:ilvl w:val="0"/>
          <w:numId w:val="3"/>
        </w:numPr>
      </w:pPr>
      <w:r w:rsidRPr="00D259FB">
        <w:rPr>
          <w:b/>
          <w:bCs/>
        </w:rPr>
        <w:t>Misnamed visual:</w:t>
      </w:r>
      <w:r w:rsidRPr="00D259FB">
        <w:t xml:space="preserve"> “Total Transaction Table by Fraud Status” is actually a bar chart. Rename it, for example “Transactions by Fraud Status”.</w:t>
      </w:r>
    </w:p>
    <w:p w14:paraId="09598654" w14:textId="77777777" w:rsidR="00D259FB" w:rsidRPr="00D259FB" w:rsidRDefault="00D259FB" w:rsidP="00D259FB">
      <w:pPr>
        <w:numPr>
          <w:ilvl w:val="0"/>
          <w:numId w:val="3"/>
        </w:numPr>
      </w:pPr>
      <w:r w:rsidRPr="00D259FB">
        <w:rPr>
          <w:b/>
          <w:bCs/>
        </w:rPr>
        <w:t>Truncated KPI cards:</w:t>
      </w:r>
      <w:r w:rsidRPr="00D259FB">
        <w:t xml:space="preserve"> In the standalone card view, labels and values are cut off (“Total Trans…”, “153.4…”). Widen the cards, shorten the labels, or use a display unit such as “153.5bn”.</w:t>
      </w:r>
    </w:p>
    <w:p w14:paraId="4A82EEC6" w14:textId="77777777" w:rsidR="00D259FB" w:rsidRPr="00D259FB" w:rsidRDefault="00D259FB" w:rsidP="00D259FB">
      <w:pPr>
        <w:numPr>
          <w:ilvl w:val="0"/>
          <w:numId w:val="3"/>
        </w:numPr>
      </w:pPr>
      <w:r w:rsidRPr="00D259FB">
        <w:rPr>
          <w:b/>
          <w:bCs/>
        </w:rPr>
        <w:t>Missing card in that view:</w:t>
      </w:r>
      <w:r w:rsidRPr="00D259FB">
        <w:t xml:space="preserve"> The “Total accounts” card does not appear in the cropped version.</w:t>
      </w:r>
    </w:p>
    <w:p w14:paraId="1C0F0CDB" w14:textId="77777777" w:rsidR="00D259FB" w:rsidRPr="00D259FB" w:rsidRDefault="00D259FB" w:rsidP="00D259FB">
      <w:pPr>
        <w:numPr>
          <w:ilvl w:val="0"/>
          <w:numId w:val="3"/>
        </w:numPr>
      </w:pPr>
      <w:r w:rsidRPr="00D259FB">
        <w:rPr>
          <w:b/>
          <w:bCs/>
        </w:rPr>
        <w:lastRenderedPageBreak/>
        <w:t>Fraud bar is invisible:</w:t>
      </w:r>
      <w:r w:rsidRPr="00D259FB">
        <w:t xml:space="preserve"> The fraud bar is too small to see on a linear scale. Use a log scale, show the data labels as counts and percentages, or drop the bar chart since the donut already conveys the split.</w:t>
      </w:r>
    </w:p>
    <w:p w14:paraId="086CE8C1" w14:textId="77777777" w:rsidR="00D259FB" w:rsidRPr="00D259FB" w:rsidRDefault="00D259FB" w:rsidP="00D259FB">
      <w:pPr>
        <w:numPr>
          <w:ilvl w:val="0"/>
          <w:numId w:val="3"/>
        </w:numPr>
      </w:pPr>
      <w:r w:rsidRPr="00D259FB">
        <w:rPr>
          <w:b/>
          <w:bCs/>
        </w:rPr>
        <w:t>Dense line charts:</w:t>
      </w:r>
      <w:r w:rsidRPr="00D259FB">
        <w:t xml:space="preserve"> Smoothing or a moving average would make the fraud trend easier to read.</w:t>
      </w:r>
    </w:p>
    <w:p w14:paraId="5529FA9F" w14:textId="77777777" w:rsidR="00D259FB" w:rsidRPr="00D259FB" w:rsidRDefault="00D259FB" w:rsidP="00D259FB">
      <w:pPr>
        <w:numPr>
          <w:ilvl w:val="0"/>
          <w:numId w:val="3"/>
        </w:numPr>
      </w:pPr>
      <w:r w:rsidRPr="00D259FB">
        <w:rPr>
          <w:b/>
          <w:bCs/>
        </w:rPr>
        <w:t>Missing context:</w:t>
      </w:r>
      <w:r w:rsidRPr="00D259FB">
        <w:t xml:space="preserve"> Add axis titles with units and a short subtitle describing the dataset.</w:t>
      </w:r>
    </w:p>
    <w:p w14:paraId="46807CAE" w14:textId="77777777" w:rsidR="00D259FB" w:rsidRPr="00D259FB" w:rsidRDefault="00D259FB" w:rsidP="00D259FB">
      <w:pPr>
        <w:rPr>
          <w:b/>
          <w:bCs/>
        </w:rPr>
      </w:pPr>
      <w:r w:rsidRPr="00D259FB">
        <w:rPr>
          <w:b/>
          <w:bCs/>
        </w:rPr>
        <w:t>7. Recommendations</w:t>
      </w:r>
    </w:p>
    <w:p w14:paraId="4A3BEDA9" w14:textId="77777777" w:rsidR="00D259FB" w:rsidRPr="00D259FB" w:rsidRDefault="00D259FB" w:rsidP="00D259FB">
      <w:pPr>
        <w:numPr>
          <w:ilvl w:val="0"/>
          <w:numId w:val="4"/>
        </w:numPr>
      </w:pPr>
      <w:r w:rsidRPr="00D259FB">
        <w:rPr>
          <w:b/>
          <w:bCs/>
        </w:rPr>
        <w:t>Fix the labelling and rounding issues</w:t>
      </w:r>
      <w:r w:rsidRPr="00D259FB">
        <w:t xml:space="preserve"> listed above so the numbers reconcile at a glance.</w:t>
      </w:r>
    </w:p>
    <w:p w14:paraId="78194D0D" w14:textId="77777777" w:rsidR="00D259FB" w:rsidRPr="00D259FB" w:rsidRDefault="00D259FB" w:rsidP="00D259FB">
      <w:pPr>
        <w:numPr>
          <w:ilvl w:val="0"/>
          <w:numId w:val="4"/>
        </w:numPr>
      </w:pPr>
      <w:r w:rsidRPr="00D259FB">
        <w:rPr>
          <w:b/>
          <w:bCs/>
        </w:rPr>
        <w:t>Add fraud rate over time</w:t>
      </w:r>
      <w:r w:rsidRPr="00D259FB">
        <w:t xml:space="preserve"> (fraud count ÷ total transactions per time step) to show whether fraud intensity changes, which neither line chart answers today.</w:t>
      </w:r>
    </w:p>
    <w:p w14:paraId="7DADD1B2" w14:textId="77777777" w:rsidR="00D259FB" w:rsidRPr="00D259FB" w:rsidRDefault="00D259FB" w:rsidP="00D259FB">
      <w:pPr>
        <w:numPr>
          <w:ilvl w:val="0"/>
          <w:numId w:val="4"/>
        </w:numPr>
      </w:pPr>
      <w:r w:rsidRPr="00D259FB">
        <w:rPr>
          <w:b/>
          <w:bCs/>
        </w:rPr>
        <w:t>Break down fraud by alert type and amount.</w:t>
      </w:r>
      <w:r w:rsidRPr="00D259FB">
        <w:t xml:space="preserve"> Compare average and total fraud value for cycle versus fan-in to show which pattern causes the most financial exposure.</w:t>
      </w:r>
    </w:p>
    <w:p w14:paraId="1052A21D" w14:textId="77777777" w:rsidR="00D259FB" w:rsidRPr="00D259FB" w:rsidRDefault="00D259FB" w:rsidP="00D259FB">
      <w:pPr>
        <w:numPr>
          <w:ilvl w:val="0"/>
          <w:numId w:val="4"/>
        </w:numPr>
      </w:pPr>
      <w:r w:rsidRPr="00D259FB">
        <w:rPr>
          <w:b/>
          <w:bCs/>
        </w:rPr>
        <w:t>Add account-level views</w:t>
      </w:r>
      <w:r w:rsidRPr="00D259FB">
        <w:t>, such as the top accounts by alert count, since cycle and fan-in are network patterns centred on specific accounts.</w:t>
      </w:r>
    </w:p>
    <w:p w14:paraId="4D21DD2B" w14:textId="77777777" w:rsidR="00D259FB" w:rsidRPr="00D259FB" w:rsidRDefault="00D259FB" w:rsidP="00D259FB">
      <w:pPr>
        <w:numPr>
          <w:ilvl w:val="0"/>
          <w:numId w:val="4"/>
        </w:numPr>
      </w:pPr>
      <w:r w:rsidRPr="00D259FB">
        <w:rPr>
          <w:b/>
          <w:bCs/>
        </w:rPr>
        <w:t>Use imbalance-aware methods</w:t>
      </w:r>
      <w:r w:rsidRPr="00D259FB">
        <w:t xml:space="preserve"> (class weighting, resampling, anomaly detection) and precision/recall metrics if the data is used for modelling.</w:t>
      </w:r>
    </w:p>
    <w:p w14:paraId="272EA206" w14:textId="77777777" w:rsidR="00D259FB" w:rsidRPr="00D259FB" w:rsidRDefault="00D259FB" w:rsidP="00D259FB">
      <w:pPr>
        <w:numPr>
          <w:ilvl w:val="0"/>
          <w:numId w:val="4"/>
        </w:numPr>
      </w:pPr>
      <w:r w:rsidRPr="00D259FB">
        <w:rPr>
          <w:b/>
          <w:bCs/>
        </w:rPr>
        <w:t>Add a drill-through or detail table</w:t>
      </w:r>
      <w:r w:rsidRPr="00D259FB">
        <w:t xml:space="preserve"> so an analyst can go from a flagged alert to its underlying transactions.</w:t>
      </w:r>
    </w:p>
    <w:p w14:paraId="430A8D22" w14:textId="77777777" w:rsidR="00D259FB" w:rsidRPr="00D259FB" w:rsidRDefault="00D259FB" w:rsidP="00D259FB">
      <w:pPr>
        <w:rPr>
          <w:b/>
          <w:bCs/>
        </w:rPr>
      </w:pPr>
      <w:r w:rsidRPr="00D259FB">
        <w:rPr>
          <w:b/>
          <w:bCs/>
        </w:rPr>
        <w:t>8. Conclusion</w:t>
      </w:r>
    </w:p>
    <w:p w14:paraId="06D519BC" w14:textId="77777777" w:rsidR="00D259FB" w:rsidRPr="00D259FB" w:rsidRDefault="00D259FB" w:rsidP="00D259FB">
      <w:r w:rsidRPr="00D259FB">
        <w:t>The dashboard gives a clear first view of an AML dataset: a very large, stable stream of transactions with a tiny fraction of fraud, concentrated in two well-known laundering patterns. With the labelling fixes and a few extra views (fraud rate over time, alert-type financial impact, account-level detail), it would move from descriptive reporting toward something an investigator could actually use.</w:t>
      </w:r>
    </w:p>
    <w:p w14:paraId="1E475413" w14:textId="77777777" w:rsidR="007E7896" w:rsidRDefault="007E7896"/>
    <w:sectPr w:rsidR="007E7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06E5"/>
    <w:multiLevelType w:val="multilevel"/>
    <w:tmpl w:val="429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53E3D"/>
    <w:multiLevelType w:val="multilevel"/>
    <w:tmpl w:val="B9D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343F8"/>
    <w:multiLevelType w:val="multilevel"/>
    <w:tmpl w:val="776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12B54"/>
    <w:multiLevelType w:val="multilevel"/>
    <w:tmpl w:val="C10C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299242">
    <w:abstractNumId w:val="2"/>
  </w:num>
  <w:num w:numId="2" w16cid:durableId="613679360">
    <w:abstractNumId w:val="1"/>
  </w:num>
  <w:num w:numId="3" w16cid:durableId="2065324260">
    <w:abstractNumId w:val="0"/>
  </w:num>
  <w:num w:numId="4" w16cid:durableId="1510218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FB"/>
    <w:rsid w:val="00713A01"/>
    <w:rsid w:val="007E7896"/>
    <w:rsid w:val="00C46A8F"/>
    <w:rsid w:val="00D22056"/>
    <w:rsid w:val="00D25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EE26"/>
  <w15:chartTrackingRefBased/>
  <w15:docId w15:val="{AFD3F107-4744-491C-82A4-43116DF2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9FB"/>
    <w:rPr>
      <w:rFonts w:eastAsiaTheme="majorEastAsia" w:cstheme="majorBidi"/>
      <w:color w:val="272727" w:themeColor="text1" w:themeTint="D8"/>
    </w:rPr>
  </w:style>
  <w:style w:type="paragraph" w:styleId="Title">
    <w:name w:val="Title"/>
    <w:basedOn w:val="Normal"/>
    <w:next w:val="Normal"/>
    <w:link w:val="TitleChar"/>
    <w:uiPriority w:val="10"/>
    <w:qFormat/>
    <w:rsid w:val="00D2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9FB"/>
    <w:pPr>
      <w:spacing w:before="160"/>
      <w:jc w:val="center"/>
    </w:pPr>
    <w:rPr>
      <w:i/>
      <w:iCs/>
      <w:color w:val="404040" w:themeColor="text1" w:themeTint="BF"/>
    </w:rPr>
  </w:style>
  <w:style w:type="character" w:customStyle="1" w:styleId="QuoteChar">
    <w:name w:val="Quote Char"/>
    <w:basedOn w:val="DefaultParagraphFont"/>
    <w:link w:val="Quote"/>
    <w:uiPriority w:val="29"/>
    <w:rsid w:val="00D259FB"/>
    <w:rPr>
      <w:i/>
      <w:iCs/>
      <w:color w:val="404040" w:themeColor="text1" w:themeTint="BF"/>
    </w:rPr>
  </w:style>
  <w:style w:type="paragraph" w:styleId="ListParagraph">
    <w:name w:val="List Paragraph"/>
    <w:basedOn w:val="Normal"/>
    <w:uiPriority w:val="34"/>
    <w:qFormat/>
    <w:rsid w:val="00D259FB"/>
    <w:pPr>
      <w:ind w:left="720"/>
      <w:contextualSpacing/>
    </w:pPr>
  </w:style>
  <w:style w:type="character" w:styleId="IntenseEmphasis">
    <w:name w:val="Intense Emphasis"/>
    <w:basedOn w:val="DefaultParagraphFont"/>
    <w:uiPriority w:val="21"/>
    <w:qFormat/>
    <w:rsid w:val="00D259FB"/>
    <w:rPr>
      <w:i/>
      <w:iCs/>
      <w:color w:val="2F5496" w:themeColor="accent1" w:themeShade="BF"/>
    </w:rPr>
  </w:style>
  <w:style w:type="paragraph" w:styleId="IntenseQuote">
    <w:name w:val="Intense Quote"/>
    <w:basedOn w:val="Normal"/>
    <w:next w:val="Normal"/>
    <w:link w:val="IntenseQuoteChar"/>
    <w:uiPriority w:val="30"/>
    <w:qFormat/>
    <w:rsid w:val="00D25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9FB"/>
    <w:rPr>
      <w:i/>
      <w:iCs/>
      <w:color w:val="2F5496" w:themeColor="accent1" w:themeShade="BF"/>
    </w:rPr>
  </w:style>
  <w:style w:type="character" w:styleId="IntenseReference">
    <w:name w:val="Intense Reference"/>
    <w:basedOn w:val="DefaultParagraphFont"/>
    <w:uiPriority w:val="32"/>
    <w:qFormat/>
    <w:rsid w:val="00D259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krithikaa RR</dc:creator>
  <cp:keywords/>
  <dc:description/>
  <cp:lastModifiedBy>krithikaa RR</cp:lastModifiedBy>
  <cp:revision>1</cp:revision>
  <dcterms:created xsi:type="dcterms:W3CDTF">2026-10-30T06:21:00Z</dcterms:created>
  <dcterms:modified xsi:type="dcterms:W3CDTF">2026-10-30T06:24:00Z</dcterms:modified>
</cp:coreProperties>
</file>