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5A9E" w14:textId="77777777" w:rsidR="004E08F1" w:rsidRPr="004E08F1" w:rsidRDefault="004E08F1" w:rsidP="004E08F1">
      <w:pPr>
        <w:rPr>
          <w:b/>
          <w:bCs/>
        </w:rPr>
      </w:pPr>
      <w:r w:rsidRPr="004E08F1">
        <w:rPr>
          <w:b/>
          <w:bCs/>
        </w:rPr>
        <w:t>Financial Transactions and Loans Dashboard: Analysis Report</w:t>
      </w:r>
    </w:p>
    <w:p w14:paraId="70D1CE10" w14:textId="77777777" w:rsidR="004E08F1" w:rsidRPr="004E08F1" w:rsidRDefault="004E08F1" w:rsidP="004E08F1">
      <w:pPr>
        <w:rPr>
          <w:b/>
          <w:bCs/>
        </w:rPr>
      </w:pPr>
      <w:r w:rsidRPr="004E08F1">
        <w:rPr>
          <w:b/>
          <w:bCs/>
        </w:rPr>
        <w:t>1. Executive Summary</w:t>
      </w:r>
    </w:p>
    <w:p w14:paraId="3BDB2F81" w14:textId="77777777" w:rsidR="004E08F1" w:rsidRPr="004E08F1" w:rsidRDefault="004E08F1" w:rsidP="004E08F1">
      <w:r w:rsidRPr="004E08F1">
        <w:t xml:space="preserve">The dashboard gives a snapshot of a retail banking dataset: </w:t>
      </w:r>
      <w:r w:rsidRPr="004E08F1">
        <w:rPr>
          <w:b/>
          <w:bCs/>
        </w:rPr>
        <w:t>703 customers</w:t>
      </w:r>
      <w:r w:rsidRPr="004E08F1">
        <w:t xml:space="preserve">, roughly </w:t>
      </w:r>
      <w:r w:rsidRPr="004E08F1">
        <w:rPr>
          <w:b/>
          <w:bCs/>
        </w:rPr>
        <w:t>1K active accounts</w:t>
      </w:r>
      <w:r w:rsidRPr="004E08F1">
        <w:t xml:space="preserve">, </w:t>
      </w:r>
      <w:r w:rsidRPr="004E08F1">
        <w:rPr>
          <w:b/>
          <w:bCs/>
        </w:rPr>
        <w:t>208 active loans</w:t>
      </w:r>
      <w:r w:rsidRPr="004E08F1">
        <w:t xml:space="preserve"> and </w:t>
      </w:r>
      <w:r w:rsidRPr="004E08F1">
        <w:rPr>
          <w:b/>
          <w:bCs/>
        </w:rPr>
        <w:t>49,500 transactions</w:t>
      </w:r>
      <w:r w:rsidRPr="004E08F1">
        <w:t xml:space="preserve"> worth </w:t>
      </w:r>
      <w:r w:rsidRPr="004E08F1">
        <w:rPr>
          <w:b/>
          <w:bCs/>
        </w:rPr>
        <w:t>125.19M</w:t>
      </w:r>
      <w:r w:rsidRPr="004E08F1">
        <w:t xml:space="preserve"> in total. Activity is evenly spread across Deposits, Transfers and Withdrawals (about 30% each), with Payments making up the remaining 10%. Account types are well balanced, and about 72% of loans are active. The most important finding is a </w:t>
      </w:r>
      <w:r w:rsidRPr="004E08F1">
        <w:rPr>
          <w:b/>
          <w:bCs/>
        </w:rPr>
        <w:t>sharp collapse in transaction volume from early 2024</w:t>
      </w:r>
      <w:r w:rsidRPr="004E08F1">
        <w:t>, which needs to be explained before any conclusions are drawn about business performance.</w:t>
      </w:r>
    </w:p>
    <w:p w14:paraId="62BA2CB8" w14:textId="77777777" w:rsidR="004E08F1" w:rsidRPr="004E08F1" w:rsidRDefault="004E08F1" w:rsidP="004E08F1">
      <w:pPr>
        <w:rPr>
          <w:b/>
          <w:bCs/>
        </w:rPr>
      </w:pPr>
      <w:r w:rsidRPr="004E08F1">
        <w:rPr>
          <w:b/>
          <w:bCs/>
        </w:rPr>
        <w:t>2. Headline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2507"/>
      </w:tblGrid>
      <w:tr w:rsidR="004E08F1" w:rsidRPr="004E08F1" w14:paraId="43096B57" w14:textId="77777777">
        <w:trPr>
          <w:tblCellSpacing w:w="15" w:type="dxa"/>
        </w:trPr>
        <w:tc>
          <w:tcPr>
            <w:tcW w:w="0" w:type="auto"/>
            <w:vAlign w:val="center"/>
            <w:hideMark/>
          </w:tcPr>
          <w:p w14:paraId="1B528C47" w14:textId="77777777" w:rsidR="004E08F1" w:rsidRPr="004E08F1" w:rsidRDefault="004E08F1" w:rsidP="004E08F1">
            <w:pPr>
              <w:rPr>
                <w:b/>
                <w:bCs/>
              </w:rPr>
            </w:pPr>
            <w:r w:rsidRPr="004E08F1">
              <w:rPr>
                <w:b/>
                <w:bCs/>
              </w:rPr>
              <w:t>Metric</w:t>
            </w:r>
          </w:p>
        </w:tc>
        <w:tc>
          <w:tcPr>
            <w:tcW w:w="0" w:type="auto"/>
            <w:vAlign w:val="center"/>
            <w:hideMark/>
          </w:tcPr>
          <w:p w14:paraId="48DC35D1" w14:textId="77777777" w:rsidR="004E08F1" w:rsidRPr="004E08F1" w:rsidRDefault="004E08F1" w:rsidP="004E08F1">
            <w:pPr>
              <w:rPr>
                <w:b/>
                <w:bCs/>
              </w:rPr>
            </w:pPr>
            <w:r w:rsidRPr="004E08F1">
              <w:rPr>
                <w:b/>
                <w:bCs/>
              </w:rPr>
              <w:t>Value</w:t>
            </w:r>
          </w:p>
        </w:tc>
      </w:tr>
      <w:tr w:rsidR="004E08F1" w:rsidRPr="004E08F1" w14:paraId="19378794" w14:textId="77777777">
        <w:trPr>
          <w:tblCellSpacing w:w="15" w:type="dxa"/>
        </w:trPr>
        <w:tc>
          <w:tcPr>
            <w:tcW w:w="0" w:type="auto"/>
            <w:vAlign w:val="center"/>
            <w:hideMark/>
          </w:tcPr>
          <w:p w14:paraId="5B67CF55" w14:textId="77777777" w:rsidR="004E08F1" w:rsidRPr="004E08F1" w:rsidRDefault="004E08F1" w:rsidP="004E08F1">
            <w:r w:rsidRPr="004E08F1">
              <w:t>Total customers</w:t>
            </w:r>
          </w:p>
        </w:tc>
        <w:tc>
          <w:tcPr>
            <w:tcW w:w="0" w:type="auto"/>
            <w:vAlign w:val="center"/>
            <w:hideMark/>
          </w:tcPr>
          <w:p w14:paraId="3889CAD8" w14:textId="77777777" w:rsidR="004E08F1" w:rsidRPr="004E08F1" w:rsidRDefault="004E08F1" w:rsidP="004E08F1">
            <w:r w:rsidRPr="004E08F1">
              <w:t>703</w:t>
            </w:r>
          </w:p>
        </w:tc>
      </w:tr>
      <w:tr w:rsidR="004E08F1" w:rsidRPr="004E08F1" w14:paraId="6F67A474" w14:textId="77777777">
        <w:trPr>
          <w:tblCellSpacing w:w="15" w:type="dxa"/>
        </w:trPr>
        <w:tc>
          <w:tcPr>
            <w:tcW w:w="0" w:type="auto"/>
            <w:vAlign w:val="center"/>
            <w:hideMark/>
          </w:tcPr>
          <w:p w14:paraId="0258FAB5" w14:textId="77777777" w:rsidR="004E08F1" w:rsidRPr="004E08F1" w:rsidRDefault="004E08F1" w:rsidP="004E08F1">
            <w:r w:rsidRPr="004E08F1">
              <w:t>Active accounts</w:t>
            </w:r>
          </w:p>
        </w:tc>
        <w:tc>
          <w:tcPr>
            <w:tcW w:w="0" w:type="auto"/>
            <w:vAlign w:val="center"/>
            <w:hideMark/>
          </w:tcPr>
          <w:p w14:paraId="2A969F3D" w14:textId="77777777" w:rsidR="004E08F1" w:rsidRPr="004E08F1" w:rsidRDefault="004E08F1" w:rsidP="004E08F1">
            <w:r w:rsidRPr="004E08F1">
              <w:t>1K</w:t>
            </w:r>
          </w:p>
        </w:tc>
      </w:tr>
      <w:tr w:rsidR="004E08F1" w:rsidRPr="004E08F1" w14:paraId="7AD99FDA" w14:textId="77777777">
        <w:trPr>
          <w:tblCellSpacing w:w="15" w:type="dxa"/>
        </w:trPr>
        <w:tc>
          <w:tcPr>
            <w:tcW w:w="0" w:type="auto"/>
            <w:vAlign w:val="center"/>
            <w:hideMark/>
          </w:tcPr>
          <w:p w14:paraId="761CD6F2" w14:textId="77777777" w:rsidR="004E08F1" w:rsidRPr="004E08F1" w:rsidRDefault="004E08F1" w:rsidP="004E08F1">
            <w:r w:rsidRPr="004E08F1">
              <w:t>Active loans</w:t>
            </w:r>
          </w:p>
        </w:tc>
        <w:tc>
          <w:tcPr>
            <w:tcW w:w="0" w:type="auto"/>
            <w:vAlign w:val="center"/>
            <w:hideMark/>
          </w:tcPr>
          <w:p w14:paraId="4B6EF5D4" w14:textId="77777777" w:rsidR="004E08F1" w:rsidRPr="004E08F1" w:rsidRDefault="004E08F1" w:rsidP="004E08F1">
            <w:r w:rsidRPr="004E08F1">
              <w:t>208</w:t>
            </w:r>
          </w:p>
        </w:tc>
      </w:tr>
      <w:tr w:rsidR="004E08F1" w:rsidRPr="004E08F1" w14:paraId="46D7329E" w14:textId="77777777">
        <w:trPr>
          <w:tblCellSpacing w:w="15" w:type="dxa"/>
        </w:trPr>
        <w:tc>
          <w:tcPr>
            <w:tcW w:w="0" w:type="auto"/>
            <w:vAlign w:val="center"/>
            <w:hideMark/>
          </w:tcPr>
          <w:p w14:paraId="09D6663C" w14:textId="77777777" w:rsidR="004E08F1" w:rsidRPr="004E08F1" w:rsidRDefault="004E08F1" w:rsidP="004E08F1">
            <w:r w:rsidRPr="004E08F1">
              <w:t>Total transaction value</w:t>
            </w:r>
          </w:p>
        </w:tc>
        <w:tc>
          <w:tcPr>
            <w:tcW w:w="0" w:type="auto"/>
            <w:vAlign w:val="center"/>
            <w:hideMark/>
          </w:tcPr>
          <w:p w14:paraId="011CBEFA" w14:textId="77777777" w:rsidR="004E08F1" w:rsidRPr="004E08F1" w:rsidRDefault="004E08F1" w:rsidP="004E08F1">
            <w:r w:rsidRPr="004E08F1">
              <w:t>125.19M (12,51,94,599.50)</w:t>
            </w:r>
          </w:p>
        </w:tc>
      </w:tr>
      <w:tr w:rsidR="004E08F1" w:rsidRPr="004E08F1" w14:paraId="1CB60F96" w14:textId="77777777">
        <w:trPr>
          <w:tblCellSpacing w:w="15" w:type="dxa"/>
        </w:trPr>
        <w:tc>
          <w:tcPr>
            <w:tcW w:w="0" w:type="auto"/>
            <w:vAlign w:val="center"/>
            <w:hideMark/>
          </w:tcPr>
          <w:p w14:paraId="48BDC146" w14:textId="77777777" w:rsidR="004E08F1" w:rsidRPr="004E08F1" w:rsidRDefault="004E08F1" w:rsidP="004E08F1">
            <w:r w:rsidRPr="004E08F1">
              <w:t>Total transactions</w:t>
            </w:r>
          </w:p>
        </w:tc>
        <w:tc>
          <w:tcPr>
            <w:tcW w:w="0" w:type="auto"/>
            <w:vAlign w:val="center"/>
            <w:hideMark/>
          </w:tcPr>
          <w:p w14:paraId="32AC729F" w14:textId="77777777" w:rsidR="004E08F1" w:rsidRPr="004E08F1" w:rsidRDefault="004E08F1" w:rsidP="004E08F1">
            <w:r w:rsidRPr="004E08F1">
              <w:t>49,500</w:t>
            </w:r>
          </w:p>
        </w:tc>
      </w:tr>
      <w:tr w:rsidR="004E08F1" w:rsidRPr="004E08F1" w14:paraId="73347BE9" w14:textId="77777777">
        <w:trPr>
          <w:tblCellSpacing w:w="15" w:type="dxa"/>
        </w:trPr>
        <w:tc>
          <w:tcPr>
            <w:tcW w:w="0" w:type="auto"/>
            <w:vAlign w:val="center"/>
            <w:hideMark/>
          </w:tcPr>
          <w:p w14:paraId="0F80AE75" w14:textId="77777777" w:rsidR="004E08F1" w:rsidRPr="004E08F1" w:rsidRDefault="004E08F1" w:rsidP="004E08F1">
            <w:r w:rsidRPr="004E08F1">
              <w:t>Total loans (all statuses)</w:t>
            </w:r>
          </w:p>
        </w:tc>
        <w:tc>
          <w:tcPr>
            <w:tcW w:w="0" w:type="auto"/>
            <w:vAlign w:val="center"/>
            <w:hideMark/>
          </w:tcPr>
          <w:p w14:paraId="56B1847C" w14:textId="77777777" w:rsidR="004E08F1" w:rsidRPr="004E08F1" w:rsidRDefault="004E08F1" w:rsidP="004E08F1">
            <w:r w:rsidRPr="004E08F1">
              <w:t>290</w:t>
            </w:r>
          </w:p>
        </w:tc>
      </w:tr>
    </w:tbl>
    <w:p w14:paraId="3F8284F1" w14:textId="77777777" w:rsidR="004E08F1" w:rsidRPr="004E08F1" w:rsidRDefault="004E08F1" w:rsidP="004E08F1">
      <w:r w:rsidRPr="004E08F1">
        <w:t>Derived ratios: about 70 transactions per customer, about 2,530 average value per transaction, and 0.41 loans per customer (290 loans across 703 customers).</w:t>
      </w:r>
    </w:p>
    <w:p w14:paraId="0D32EF97" w14:textId="77777777" w:rsidR="004E08F1" w:rsidRPr="004E08F1" w:rsidRDefault="004E08F1" w:rsidP="004E08F1">
      <w:pPr>
        <w:rPr>
          <w:b/>
          <w:bCs/>
        </w:rPr>
      </w:pPr>
      <w:r w:rsidRPr="004E08F1">
        <w:rPr>
          <w:b/>
          <w:bCs/>
        </w:rPr>
        <w:t>3. Accounts by Account Type</w:t>
      </w:r>
    </w:p>
    <w:p w14:paraId="761E25C1" w14:textId="77777777" w:rsidR="004E08F1" w:rsidRPr="004E08F1" w:rsidRDefault="004E08F1" w:rsidP="004E08F1">
      <w:r w:rsidRPr="004E08F1">
        <w:t>Five account types are tracked: Business (about 355), Youth (about 330), Savings (about 325), Payroll (about 305) and Checking (about 305).</w:t>
      </w:r>
    </w:p>
    <w:p w14:paraId="7D9B5C43" w14:textId="77777777" w:rsidR="004E08F1" w:rsidRPr="004E08F1" w:rsidRDefault="004E08F1" w:rsidP="004E08F1">
      <w:pPr>
        <w:numPr>
          <w:ilvl w:val="0"/>
          <w:numId w:val="1"/>
        </w:numPr>
      </w:pPr>
      <w:r w:rsidRPr="004E08F1">
        <w:t xml:space="preserve">The portfolio is </w:t>
      </w:r>
      <w:r w:rsidRPr="004E08F1">
        <w:rPr>
          <w:b/>
          <w:bCs/>
        </w:rPr>
        <w:t>evenly distributed</w:t>
      </w:r>
      <w:r w:rsidRPr="004E08F1">
        <w:t>. No single type exceeds roughly 22% of accounts.</w:t>
      </w:r>
    </w:p>
    <w:p w14:paraId="4C2F7FFC" w14:textId="77777777" w:rsidR="004E08F1" w:rsidRPr="004E08F1" w:rsidRDefault="004E08F1" w:rsidP="004E08F1">
      <w:pPr>
        <w:numPr>
          <w:ilvl w:val="0"/>
          <w:numId w:val="1"/>
        </w:numPr>
      </w:pPr>
      <w:r w:rsidRPr="004E08F1">
        <w:t>Business accounts lead slightly, which is unusual for a retail dataset and may point to a business-banking focus.</w:t>
      </w:r>
    </w:p>
    <w:p w14:paraId="554DB3F2" w14:textId="77777777" w:rsidR="004E08F1" w:rsidRPr="004E08F1" w:rsidRDefault="004E08F1" w:rsidP="004E08F1">
      <w:pPr>
        <w:numPr>
          <w:ilvl w:val="0"/>
          <w:numId w:val="1"/>
        </w:numPr>
      </w:pPr>
      <w:r w:rsidRPr="004E08F1">
        <w:t>Checking and Payroll are the smallest segments, but only marginally. There is little concentration risk by product.</w:t>
      </w:r>
    </w:p>
    <w:p w14:paraId="20FD3D1B" w14:textId="77777777" w:rsidR="004E08F1" w:rsidRPr="004E08F1" w:rsidRDefault="004E08F1" w:rsidP="004E08F1">
      <w:pPr>
        <w:numPr>
          <w:ilvl w:val="0"/>
          <w:numId w:val="1"/>
        </w:numPr>
      </w:pPr>
      <w:r w:rsidRPr="004E08F1">
        <w:t>The five bars sum to roughly 1,600 accounts, while the KPI card shows 1K active accounts. This is plausible if the chart counts all accounts and the card counts only active ones, but the dashboard should make that distinction explicit.</w:t>
      </w:r>
    </w:p>
    <w:p w14:paraId="2E1E07C1" w14:textId="77777777" w:rsidR="004E08F1" w:rsidRPr="004E08F1" w:rsidRDefault="004E08F1" w:rsidP="004E08F1">
      <w:pPr>
        <w:rPr>
          <w:b/>
          <w:bCs/>
        </w:rPr>
      </w:pPr>
      <w:r w:rsidRPr="004E08F1">
        <w:rPr>
          <w:b/>
          <w:bCs/>
        </w:rPr>
        <w:t>4. Transactions by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199"/>
        <w:gridCol w:w="869"/>
        <w:gridCol w:w="1385"/>
        <w:gridCol w:w="1904"/>
      </w:tblGrid>
      <w:tr w:rsidR="004E08F1" w:rsidRPr="004E08F1" w14:paraId="4172483F" w14:textId="77777777">
        <w:trPr>
          <w:tblCellSpacing w:w="15" w:type="dxa"/>
        </w:trPr>
        <w:tc>
          <w:tcPr>
            <w:tcW w:w="0" w:type="auto"/>
            <w:vAlign w:val="center"/>
            <w:hideMark/>
          </w:tcPr>
          <w:p w14:paraId="511C53E0" w14:textId="77777777" w:rsidR="004E08F1" w:rsidRPr="004E08F1" w:rsidRDefault="004E08F1" w:rsidP="004E08F1">
            <w:pPr>
              <w:rPr>
                <w:b/>
                <w:bCs/>
              </w:rPr>
            </w:pPr>
            <w:r w:rsidRPr="004E08F1">
              <w:rPr>
                <w:b/>
                <w:bCs/>
              </w:rPr>
              <w:t>Type</w:t>
            </w:r>
          </w:p>
        </w:tc>
        <w:tc>
          <w:tcPr>
            <w:tcW w:w="0" w:type="auto"/>
            <w:vAlign w:val="center"/>
            <w:hideMark/>
          </w:tcPr>
          <w:p w14:paraId="46CA8D45" w14:textId="77777777" w:rsidR="004E08F1" w:rsidRPr="004E08F1" w:rsidRDefault="004E08F1" w:rsidP="004E08F1">
            <w:pPr>
              <w:rPr>
                <w:b/>
                <w:bCs/>
              </w:rPr>
            </w:pPr>
            <w:r w:rsidRPr="004E08F1">
              <w:rPr>
                <w:b/>
                <w:bCs/>
              </w:rPr>
              <w:t>Transactions</w:t>
            </w:r>
          </w:p>
        </w:tc>
        <w:tc>
          <w:tcPr>
            <w:tcW w:w="0" w:type="auto"/>
            <w:vAlign w:val="center"/>
            <w:hideMark/>
          </w:tcPr>
          <w:p w14:paraId="639A6230" w14:textId="77777777" w:rsidR="004E08F1" w:rsidRPr="004E08F1" w:rsidRDefault="004E08F1" w:rsidP="004E08F1">
            <w:pPr>
              <w:rPr>
                <w:b/>
                <w:bCs/>
              </w:rPr>
            </w:pPr>
            <w:r w:rsidRPr="004E08F1">
              <w:rPr>
                <w:b/>
                <w:bCs/>
              </w:rPr>
              <w:t>Value</w:t>
            </w:r>
          </w:p>
        </w:tc>
        <w:tc>
          <w:tcPr>
            <w:tcW w:w="0" w:type="auto"/>
            <w:vAlign w:val="center"/>
            <w:hideMark/>
          </w:tcPr>
          <w:p w14:paraId="34B5A846" w14:textId="77777777" w:rsidR="004E08F1" w:rsidRPr="004E08F1" w:rsidRDefault="004E08F1" w:rsidP="004E08F1">
            <w:pPr>
              <w:rPr>
                <w:b/>
                <w:bCs/>
              </w:rPr>
            </w:pPr>
            <w:r w:rsidRPr="004E08F1">
              <w:rPr>
                <w:b/>
                <w:bCs/>
              </w:rPr>
              <w:t>Share of count</w:t>
            </w:r>
          </w:p>
        </w:tc>
        <w:tc>
          <w:tcPr>
            <w:tcW w:w="0" w:type="auto"/>
            <w:vAlign w:val="center"/>
            <w:hideMark/>
          </w:tcPr>
          <w:p w14:paraId="3805614B" w14:textId="77777777" w:rsidR="004E08F1" w:rsidRPr="004E08F1" w:rsidRDefault="004E08F1" w:rsidP="004E08F1">
            <w:pPr>
              <w:rPr>
                <w:b/>
                <w:bCs/>
              </w:rPr>
            </w:pPr>
            <w:r w:rsidRPr="004E08F1">
              <w:rPr>
                <w:b/>
                <w:bCs/>
              </w:rPr>
              <w:t>Avg. per transaction</w:t>
            </w:r>
          </w:p>
        </w:tc>
      </w:tr>
      <w:tr w:rsidR="004E08F1" w:rsidRPr="004E08F1" w14:paraId="34EE85FE" w14:textId="77777777">
        <w:trPr>
          <w:tblCellSpacing w:w="15" w:type="dxa"/>
        </w:trPr>
        <w:tc>
          <w:tcPr>
            <w:tcW w:w="0" w:type="auto"/>
            <w:vAlign w:val="center"/>
            <w:hideMark/>
          </w:tcPr>
          <w:p w14:paraId="584A7619" w14:textId="77777777" w:rsidR="004E08F1" w:rsidRPr="004E08F1" w:rsidRDefault="004E08F1" w:rsidP="004E08F1">
            <w:r w:rsidRPr="004E08F1">
              <w:t>Deposit</w:t>
            </w:r>
          </w:p>
        </w:tc>
        <w:tc>
          <w:tcPr>
            <w:tcW w:w="0" w:type="auto"/>
            <w:vAlign w:val="center"/>
            <w:hideMark/>
          </w:tcPr>
          <w:p w14:paraId="3BA1756C" w14:textId="77777777" w:rsidR="004E08F1" w:rsidRPr="004E08F1" w:rsidRDefault="004E08F1" w:rsidP="004E08F1">
            <w:r w:rsidRPr="004E08F1">
              <w:t>15,065</w:t>
            </w:r>
          </w:p>
        </w:tc>
        <w:tc>
          <w:tcPr>
            <w:tcW w:w="0" w:type="auto"/>
            <w:vAlign w:val="center"/>
            <w:hideMark/>
          </w:tcPr>
          <w:p w14:paraId="3C228FFE" w14:textId="77777777" w:rsidR="004E08F1" w:rsidRPr="004E08F1" w:rsidRDefault="004E08F1" w:rsidP="004E08F1">
            <w:r w:rsidRPr="004E08F1">
              <w:t>37.98M</w:t>
            </w:r>
          </w:p>
        </w:tc>
        <w:tc>
          <w:tcPr>
            <w:tcW w:w="0" w:type="auto"/>
            <w:vAlign w:val="center"/>
            <w:hideMark/>
          </w:tcPr>
          <w:p w14:paraId="14FAE25C" w14:textId="77777777" w:rsidR="004E08F1" w:rsidRPr="004E08F1" w:rsidRDefault="004E08F1" w:rsidP="004E08F1">
            <w:r w:rsidRPr="004E08F1">
              <w:t>30.4%</w:t>
            </w:r>
          </w:p>
        </w:tc>
        <w:tc>
          <w:tcPr>
            <w:tcW w:w="0" w:type="auto"/>
            <w:vAlign w:val="center"/>
            <w:hideMark/>
          </w:tcPr>
          <w:p w14:paraId="77CAAA27" w14:textId="77777777" w:rsidR="004E08F1" w:rsidRPr="004E08F1" w:rsidRDefault="004E08F1" w:rsidP="004E08F1">
            <w:r w:rsidRPr="004E08F1">
              <w:t>about 2,521</w:t>
            </w:r>
          </w:p>
        </w:tc>
      </w:tr>
      <w:tr w:rsidR="004E08F1" w:rsidRPr="004E08F1" w14:paraId="1E42646B" w14:textId="77777777">
        <w:trPr>
          <w:tblCellSpacing w:w="15" w:type="dxa"/>
        </w:trPr>
        <w:tc>
          <w:tcPr>
            <w:tcW w:w="0" w:type="auto"/>
            <w:vAlign w:val="center"/>
            <w:hideMark/>
          </w:tcPr>
          <w:p w14:paraId="3D972370" w14:textId="77777777" w:rsidR="004E08F1" w:rsidRPr="004E08F1" w:rsidRDefault="004E08F1" w:rsidP="004E08F1">
            <w:r w:rsidRPr="004E08F1">
              <w:t>Transfer</w:t>
            </w:r>
          </w:p>
        </w:tc>
        <w:tc>
          <w:tcPr>
            <w:tcW w:w="0" w:type="auto"/>
            <w:vAlign w:val="center"/>
            <w:hideMark/>
          </w:tcPr>
          <w:p w14:paraId="6A374212" w14:textId="77777777" w:rsidR="004E08F1" w:rsidRPr="004E08F1" w:rsidRDefault="004E08F1" w:rsidP="004E08F1">
            <w:r w:rsidRPr="004E08F1">
              <w:t>14,771</w:t>
            </w:r>
          </w:p>
        </w:tc>
        <w:tc>
          <w:tcPr>
            <w:tcW w:w="0" w:type="auto"/>
            <w:vAlign w:val="center"/>
            <w:hideMark/>
          </w:tcPr>
          <w:p w14:paraId="64EEAA31" w14:textId="77777777" w:rsidR="004E08F1" w:rsidRPr="004E08F1" w:rsidRDefault="004E08F1" w:rsidP="004E08F1">
            <w:r w:rsidRPr="004E08F1">
              <w:t>37.53M</w:t>
            </w:r>
          </w:p>
        </w:tc>
        <w:tc>
          <w:tcPr>
            <w:tcW w:w="0" w:type="auto"/>
            <w:vAlign w:val="center"/>
            <w:hideMark/>
          </w:tcPr>
          <w:p w14:paraId="33040B18" w14:textId="77777777" w:rsidR="004E08F1" w:rsidRPr="004E08F1" w:rsidRDefault="004E08F1" w:rsidP="004E08F1">
            <w:r w:rsidRPr="004E08F1">
              <w:t>29.8%</w:t>
            </w:r>
          </w:p>
        </w:tc>
        <w:tc>
          <w:tcPr>
            <w:tcW w:w="0" w:type="auto"/>
            <w:vAlign w:val="center"/>
            <w:hideMark/>
          </w:tcPr>
          <w:p w14:paraId="3D2A63C5" w14:textId="77777777" w:rsidR="004E08F1" w:rsidRPr="004E08F1" w:rsidRDefault="004E08F1" w:rsidP="004E08F1">
            <w:r w:rsidRPr="004E08F1">
              <w:t>about 2,541</w:t>
            </w:r>
          </w:p>
        </w:tc>
      </w:tr>
      <w:tr w:rsidR="004E08F1" w:rsidRPr="004E08F1" w14:paraId="32B25549" w14:textId="77777777">
        <w:trPr>
          <w:tblCellSpacing w:w="15" w:type="dxa"/>
        </w:trPr>
        <w:tc>
          <w:tcPr>
            <w:tcW w:w="0" w:type="auto"/>
            <w:vAlign w:val="center"/>
            <w:hideMark/>
          </w:tcPr>
          <w:p w14:paraId="74132D44" w14:textId="77777777" w:rsidR="004E08F1" w:rsidRPr="004E08F1" w:rsidRDefault="004E08F1" w:rsidP="004E08F1">
            <w:r w:rsidRPr="004E08F1">
              <w:lastRenderedPageBreak/>
              <w:t>Withdrawal</w:t>
            </w:r>
          </w:p>
        </w:tc>
        <w:tc>
          <w:tcPr>
            <w:tcW w:w="0" w:type="auto"/>
            <w:vAlign w:val="center"/>
            <w:hideMark/>
          </w:tcPr>
          <w:p w14:paraId="1EBC8616" w14:textId="77777777" w:rsidR="004E08F1" w:rsidRPr="004E08F1" w:rsidRDefault="004E08F1" w:rsidP="004E08F1">
            <w:r w:rsidRPr="004E08F1">
              <w:t>14,706</w:t>
            </w:r>
          </w:p>
        </w:tc>
        <w:tc>
          <w:tcPr>
            <w:tcW w:w="0" w:type="auto"/>
            <w:vAlign w:val="center"/>
            <w:hideMark/>
          </w:tcPr>
          <w:p w14:paraId="4170C18D" w14:textId="77777777" w:rsidR="004E08F1" w:rsidRPr="004E08F1" w:rsidRDefault="004E08F1" w:rsidP="004E08F1">
            <w:r w:rsidRPr="004E08F1">
              <w:t>37.15M</w:t>
            </w:r>
          </w:p>
        </w:tc>
        <w:tc>
          <w:tcPr>
            <w:tcW w:w="0" w:type="auto"/>
            <w:vAlign w:val="center"/>
            <w:hideMark/>
          </w:tcPr>
          <w:p w14:paraId="1DBE039C" w14:textId="77777777" w:rsidR="004E08F1" w:rsidRPr="004E08F1" w:rsidRDefault="004E08F1" w:rsidP="004E08F1">
            <w:r w:rsidRPr="004E08F1">
              <w:t>29.7%</w:t>
            </w:r>
          </w:p>
        </w:tc>
        <w:tc>
          <w:tcPr>
            <w:tcW w:w="0" w:type="auto"/>
            <w:vAlign w:val="center"/>
            <w:hideMark/>
          </w:tcPr>
          <w:p w14:paraId="1D9D32CB" w14:textId="77777777" w:rsidR="004E08F1" w:rsidRPr="004E08F1" w:rsidRDefault="004E08F1" w:rsidP="004E08F1">
            <w:r w:rsidRPr="004E08F1">
              <w:t>about 2,526</w:t>
            </w:r>
          </w:p>
        </w:tc>
      </w:tr>
      <w:tr w:rsidR="004E08F1" w:rsidRPr="004E08F1" w14:paraId="5FFCF815" w14:textId="77777777">
        <w:trPr>
          <w:tblCellSpacing w:w="15" w:type="dxa"/>
        </w:trPr>
        <w:tc>
          <w:tcPr>
            <w:tcW w:w="0" w:type="auto"/>
            <w:vAlign w:val="center"/>
            <w:hideMark/>
          </w:tcPr>
          <w:p w14:paraId="7E7EAC8E" w14:textId="77777777" w:rsidR="004E08F1" w:rsidRPr="004E08F1" w:rsidRDefault="004E08F1" w:rsidP="004E08F1">
            <w:r w:rsidRPr="004E08F1">
              <w:t>Payment</w:t>
            </w:r>
          </w:p>
        </w:tc>
        <w:tc>
          <w:tcPr>
            <w:tcW w:w="0" w:type="auto"/>
            <w:vAlign w:val="center"/>
            <w:hideMark/>
          </w:tcPr>
          <w:p w14:paraId="5CAEB806" w14:textId="77777777" w:rsidR="004E08F1" w:rsidRPr="004E08F1" w:rsidRDefault="004E08F1" w:rsidP="004E08F1">
            <w:r w:rsidRPr="004E08F1">
              <w:t>4,958</w:t>
            </w:r>
          </w:p>
        </w:tc>
        <w:tc>
          <w:tcPr>
            <w:tcW w:w="0" w:type="auto"/>
            <w:vAlign w:val="center"/>
            <w:hideMark/>
          </w:tcPr>
          <w:p w14:paraId="35D6A282" w14:textId="77777777" w:rsidR="004E08F1" w:rsidRPr="004E08F1" w:rsidRDefault="004E08F1" w:rsidP="004E08F1">
            <w:r w:rsidRPr="004E08F1">
              <w:t>12.53M</w:t>
            </w:r>
          </w:p>
        </w:tc>
        <w:tc>
          <w:tcPr>
            <w:tcW w:w="0" w:type="auto"/>
            <w:vAlign w:val="center"/>
            <w:hideMark/>
          </w:tcPr>
          <w:p w14:paraId="06253763" w14:textId="77777777" w:rsidR="004E08F1" w:rsidRPr="004E08F1" w:rsidRDefault="004E08F1" w:rsidP="004E08F1">
            <w:r w:rsidRPr="004E08F1">
              <w:t>10.0%</w:t>
            </w:r>
          </w:p>
        </w:tc>
        <w:tc>
          <w:tcPr>
            <w:tcW w:w="0" w:type="auto"/>
            <w:vAlign w:val="center"/>
            <w:hideMark/>
          </w:tcPr>
          <w:p w14:paraId="5CCA827E" w14:textId="77777777" w:rsidR="004E08F1" w:rsidRPr="004E08F1" w:rsidRDefault="004E08F1" w:rsidP="004E08F1">
            <w:r w:rsidRPr="004E08F1">
              <w:t>about 2,528</w:t>
            </w:r>
          </w:p>
        </w:tc>
      </w:tr>
      <w:tr w:rsidR="004E08F1" w:rsidRPr="004E08F1" w14:paraId="159AC391" w14:textId="77777777">
        <w:trPr>
          <w:tblCellSpacing w:w="15" w:type="dxa"/>
        </w:trPr>
        <w:tc>
          <w:tcPr>
            <w:tcW w:w="0" w:type="auto"/>
            <w:vAlign w:val="center"/>
            <w:hideMark/>
          </w:tcPr>
          <w:p w14:paraId="06C63571" w14:textId="77777777" w:rsidR="004E08F1" w:rsidRPr="004E08F1" w:rsidRDefault="004E08F1" w:rsidP="004E08F1">
            <w:r w:rsidRPr="004E08F1">
              <w:rPr>
                <w:b/>
                <w:bCs/>
              </w:rPr>
              <w:t>Total</w:t>
            </w:r>
          </w:p>
        </w:tc>
        <w:tc>
          <w:tcPr>
            <w:tcW w:w="0" w:type="auto"/>
            <w:vAlign w:val="center"/>
            <w:hideMark/>
          </w:tcPr>
          <w:p w14:paraId="7CFCF488" w14:textId="77777777" w:rsidR="004E08F1" w:rsidRPr="004E08F1" w:rsidRDefault="004E08F1" w:rsidP="004E08F1">
            <w:r w:rsidRPr="004E08F1">
              <w:rPr>
                <w:b/>
                <w:bCs/>
              </w:rPr>
              <w:t>49,500</w:t>
            </w:r>
          </w:p>
        </w:tc>
        <w:tc>
          <w:tcPr>
            <w:tcW w:w="0" w:type="auto"/>
            <w:vAlign w:val="center"/>
            <w:hideMark/>
          </w:tcPr>
          <w:p w14:paraId="0F3E065C" w14:textId="77777777" w:rsidR="004E08F1" w:rsidRPr="004E08F1" w:rsidRDefault="004E08F1" w:rsidP="004E08F1">
            <w:r w:rsidRPr="004E08F1">
              <w:rPr>
                <w:b/>
                <w:bCs/>
              </w:rPr>
              <w:t>125.19M</w:t>
            </w:r>
          </w:p>
        </w:tc>
        <w:tc>
          <w:tcPr>
            <w:tcW w:w="0" w:type="auto"/>
            <w:vAlign w:val="center"/>
            <w:hideMark/>
          </w:tcPr>
          <w:p w14:paraId="5986C220" w14:textId="77777777" w:rsidR="004E08F1" w:rsidRPr="004E08F1" w:rsidRDefault="004E08F1" w:rsidP="004E08F1">
            <w:r w:rsidRPr="004E08F1">
              <w:t>100%</w:t>
            </w:r>
          </w:p>
        </w:tc>
        <w:tc>
          <w:tcPr>
            <w:tcW w:w="0" w:type="auto"/>
            <w:vAlign w:val="center"/>
            <w:hideMark/>
          </w:tcPr>
          <w:p w14:paraId="21D22323" w14:textId="77777777" w:rsidR="004E08F1" w:rsidRPr="004E08F1" w:rsidRDefault="004E08F1" w:rsidP="004E08F1">
            <w:r w:rsidRPr="004E08F1">
              <w:t>about 2,529</w:t>
            </w:r>
          </w:p>
        </w:tc>
      </w:tr>
    </w:tbl>
    <w:p w14:paraId="6D4D60F3" w14:textId="77777777" w:rsidR="004E08F1" w:rsidRPr="004E08F1" w:rsidRDefault="004E08F1" w:rsidP="004E08F1">
      <w:r w:rsidRPr="004E08F1">
        <w:t>Key observations:</w:t>
      </w:r>
    </w:p>
    <w:p w14:paraId="4C8D2ADC" w14:textId="77777777" w:rsidR="004E08F1" w:rsidRPr="004E08F1" w:rsidRDefault="004E08F1" w:rsidP="004E08F1">
      <w:pPr>
        <w:numPr>
          <w:ilvl w:val="0"/>
          <w:numId w:val="2"/>
        </w:numPr>
      </w:pPr>
      <w:r w:rsidRPr="004E08F1">
        <w:t>Deposits, Transfers and Withdrawals are almost identical in both count and value. Payments are about a third of each.</w:t>
      </w:r>
    </w:p>
    <w:p w14:paraId="5EB21901" w14:textId="77777777" w:rsidR="004E08F1" w:rsidRPr="004E08F1" w:rsidRDefault="004E08F1" w:rsidP="004E08F1">
      <w:pPr>
        <w:numPr>
          <w:ilvl w:val="0"/>
          <w:numId w:val="2"/>
        </w:numPr>
      </w:pPr>
      <w:r w:rsidRPr="004E08F1">
        <w:t>Deposits exceed Withdrawals by roughly 0.83M, a small net inflow.</w:t>
      </w:r>
    </w:p>
    <w:p w14:paraId="71762875" w14:textId="77777777" w:rsidR="004E08F1" w:rsidRPr="004E08F1" w:rsidRDefault="004E08F1" w:rsidP="004E08F1">
      <w:pPr>
        <w:numPr>
          <w:ilvl w:val="0"/>
          <w:numId w:val="2"/>
        </w:numPr>
      </w:pPr>
      <w:r w:rsidRPr="004E08F1">
        <w:rPr>
          <w:b/>
          <w:bCs/>
        </w:rPr>
        <w:t>Average transaction size is nearly the same across all four types</w:t>
      </w:r>
      <w:r w:rsidRPr="004E08F1">
        <w:t xml:space="preserve"> (about 2,520 to 2,540). Real banking data usually shows clear differences, for example larger transfers or smaller withdrawals. This suggests the data is synthetic or uniformly generated, which is worth stating if this is a portfolio or practice project.</w:t>
      </w:r>
    </w:p>
    <w:p w14:paraId="5CFAFC53" w14:textId="77777777" w:rsidR="004E08F1" w:rsidRPr="004E08F1" w:rsidRDefault="004E08F1" w:rsidP="004E08F1">
      <w:pPr>
        <w:rPr>
          <w:b/>
          <w:bCs/>
        </w:rPr>
      </w:pPr>
      <w:r w:rsidRPr="004E08F1">
        <w:rPr>
          <w:b/>
          <w:bCs/>
        </w:rPr>
        <w:t>5. Transaction Trend Over Time</w:t>
      </w:r>
    </w:p>
    <w:p w14:paraId="23AEE4AE" w14:textId="77777777" w:rsidR="004E08F1" w:rsidRPr="004E08F1" w:rsidRDefault="004E08F1" w:rsidP="004E08F1">
      <w:pPr>
        <w:numPr>
          <w:ilvl w:val="0"/>
          <w:numId w:val="3"/>
        </w:numPr>
      </w:pPr>
      <w:r w:rsidRPr="004E08F1">
        <w:t xml:space="preserve">From 2020 through the end of 2023, monthly transactions hover steadily around </w:t>
      </w:r>
      <w:r w:rsidRPr="004E08F1">
        <w:rPr>
          <w:b/>
          <w:bCs/>
        </w:rPr>
        <w:t>1,000 per month</w:t>
      </w:r>
      <w:r w:rsidRPr="004E08F1">
        <w:t>, with normal month-to-month noise (roughly 850 to 1,050).</w:t>
      </w:r>
    </w:p>
    <w:p w14:paraId="0787A99A" w14:textId="77777777" w:rsidR="004E08F1" w:rsidRPr="004E08F1" w:rsidRDefault="004E08F1" w:rsidP="004E08F1">
      <w:pPr>
        <w:numPr>
          <w:ilvl w:val="0"/>
          <w:numId w:val="3"/>
        </w:numPr>
      </w:pPr>
      <w:r w:rsidRPr="004E08F1">
        <w:t xml:space="preserve">At the start of </w:t>
      </w:r>
      <w:r w:rsidRPr="004E08F1">
        <w:rPr>
          <w:b/>
          <w:bCs/>
        </w:rPr>
        <w:t>2024 the line drops sharply</w:t>
      </w:r>
      <w:r w:rsidRPr="004E08F1">
        <w:t>, to about 270 almost immediately, then decays smoothly toward zero through 2025.</w:t>
      </w:r>
    </w:p>
    <w:p w14:paraId="7A8229DF" w14:textId="77777777" w:rsidR="004E08F1" w:rsidRPr="004E08F1" w:rsidRDefault="004E08F1" w:rsidP="004E08F1">
      <w:pPr>
        <w:numPr>
          <w:ilvl w:val="0"/>
          <w:numId w:val="3"/>
        </w:numPr>
      </w:pPr>
      <w:r w:rsidRPr="004E08F1">
        <w:t>A small recovery of about 40 to 50 per month appears in 2026.</w:t>
      </w:r>
    </w:p>
    <w:p w14:paraId="6E8D414D" w14:textId="77777777" w:rsidR="004E08F1" w:rsidRPr="004E08F1" w:rsidRDefault="004E08F1" w:rsidP="004E08F1">
      <w:pPr>
        <w:numPr>
          <w:ilvl w:val="0"/>
          <w:numId w:val="3"/>
        </w:numPr>
      </w:pPr>
      <w:r w:rsidRPr="004E08F1">
        <w:t>Since 48 months at about 1,000 per month is roughly 48,000, nearly all of the 49,500 transactions occurred between 2020 and 2023.</w:t>
      </w:r>
    </w:p>
    <w:p w14:paraId="3C0F1964" w14:textId="77777777" w:rsidR="004E08F1" w:rsidRPr="004E08F1" w:rsidRDefault="004E08F1" w:rsidP="004E08F1">
      <w:r w:rsidRPr="004E08F1">
        <w:rPr>
          <w:b/>
          <w:bCs/>
        </w:rPr>
        <w:t>Interpretation:</w:t>
      </w:r>
      <w:r w:rsidRPr="004E08F1">
        <w:t xml:space="preserve"> this pattern is much more likely to be a </w:t>
      </w:r>
      <w:r w:rsidRPr="004E08F1">
        <w:rPr>
          <w:b/>
          <w:bCs/>
        </w:rPr>
        <w:t>data coverage issue</w:t>
      </w:r>
      <w:r w:rsidRPr="004E08F1">
        <w:t xml:space="preserve"> (the source data effectively ends around 2023, with a few stray later records) than a real 95%+ collapse in customer activity. The smooth decay curve is also a sign that the line is interpolating between very sparse data points. This should be verified before presenting the trend as a business insight.</w:t>
      </w:r>
    </w:p>
    <w:p w14:paraId="2A4DD2E4" w14:textId="77777777" w:rsidR="004E08F1" w:rsidRPr="004E08F1" w:rsidRDefault="004E08F1" w:rsidP="004E08F1">
      <w:pPr>
        <w:rPr>
          <w:b/>
          <w:bCs/>
        </w:rPr>
      </w:pPr>
      <w:r w:rsidRPr="004E08F1">
        <w:rPr>
          <w:b/>
          <w:bCs/>
        </w:rPr>
        <w:t>6. Loan Portfolio</w:t>
      </w:r>
    </w:p>
    <w:p w14:paraId="06A04C33" w14:textId="77777777" w:rsidR="004E08F1" w:rsidRPr="004E08F1" w:rsidRDefault="004E08F1" w:rsidP="004E08F1">
      <w:r w:rsidRPr="004E08F1">
        <w:t xml:space="preserve">There are </w:t>
      </w:r>
      <w:r w:rsidRPr="004E08F1">
        <w:rPr>
          <w:b/>
          <w:bCs/>
        </w:rPr>
        <w:t>290 loans</w:t>
      </w:r>
      <w:r w:rsidRPr="004E08F1">
        <w:t xml:space="preserve"> in total:</w:t>
      </w:r>
    </w:p>
    <w:p w14:paraId="4E97EC0F" w14:textId="77777777" w:rsidR="004E08F1" w:rsidRPr="004E08F1" w:rsidRDefault="004E08F1" w:rsidP="004E08F1">
      <w:pPr>
        <w:numPr>
          <w:ilvl w:val="0"/>
          <w:numId w:val="4"/>
        </w:numPr>
      </w:pPr>
      <w:r w:rsidRPr="004E08F1">
        <w:rPr>
          <w:b/>
          <w:bCs/>
        </w:rPr>
        <w:t>Active:</w:t>
      </w:r>
      <w:r w:rsidRPr="004E08F1">
        <w:t xml:space="preserve"> 208 (71.72%)</w:t>
      </w:r>
    </w:p>
    <w:p w14:paraId="3547E9BF" w14:textId="77777777" w:rsidR="004E08F1" w:rsidRPr="004E08F1" w:rsidRDefault="004E08F1" w:rsidP="004E08F1">
      <w:pPr>
        <w:numPr>
          <w:ilvl w:val="0"/>
          <w:numId w:val="4"/>
        </w:numPr>
      </w:pPr>
      <w:r w:rsidRPr="004E08F1">
        <w:rPr>
          <w:b/>
          <w:bCs/>
        </w:rPr>
        <w:t>Paid off:</w:t>
      </w:r>
      <w:r w:rsidRPr="004E08F1">
        <w:t xml:space="preserve"> 50 (17.24%)</w:t>
      </w:r>
    </w:p>
    <w:p w14:paraId="22DF0640" w14:textId="77777777" w:rsidR="004E08F1" w:rsidRPr="004E08F1" w:rsidRDefault="004E08F1" w:rsidP="004E08F1">
      <w:pPr>
        <w:numPr>
          <w:ilvl w:val="0"/>
          <w:numId w:val="4"/>
        </w:numPr>
      </w:pPr>
      <w:r w:rsidRPr="004E08F1">
        <w:rPr>
          <w:b/>
          <w:bCs/>
        </w:rPr>
        <w:t>Overdue:</w:t>
      </w:r>
      <w:r w:rsidRPr="004E08F1">
        <w:t xml:space="preserve"> 32 (11.03%)</w:t>
      </w:r>
    </w:p>
    <w:p w14:paraId="60FF9220" w14:textId="77777777" w:rsidR="004E08F1" w:rsidRPr="004E08F1" w:rsidRDefault="004E08F1" w:rsidP="004E08F1">
      <w:r w:rsidRPr="004E08F1">
        <w:t>Observations:</w:t>
      </w:r>
    </w:p>
    <w:p w14:paraId="4795BD67" w14:textId="77777777" w:rsidR="004E08F1" w:rsidRPr="004E08F1" w:rsidRDefault="004E08F1" w:rsidP="004E08F1">
      <w:pPr>
        <w:numPr>
          <w:ilvl w:val="0"/>
          <w:numId w:val="5"/>
        </w:numPr>
      </w:pPr>
      <w:r w:rsidRPr="004E08F1">
        <w:t>Nearly three quarters of loans are currently performing, and about 17% have been fully repaid.</w:t>
      </w:r>
    </w:p>
    <w:p w14:paraId="568FE1D9" w14:textId="77777777" w:rsidR="004E08F1" w:rsidRPr="004E08F1" w:rsidRDefault="004E08F1" w:rsidP="004E08F1">
      <w:pPr>
        <w:numPr>
          <w:ilvl w:val="0"/>
          <w:numId w:val="5"/>
        </w:numPr>
      </w:pPr>
      <w:r w:rsidRPr="004E08F1">
        <w:rPr>
          <w:b/>
          <w:bCs/>
        </w:rPr>
        <w:t>Overdue loans at 11% are the main risk indicator.</w:t>
      </w:r>
      <w:r w:rsidRPr="004E08F1">
        <w:t xml:space="preserve"> In a real portfolio this would be a meaningful delinquency rate and would warrant a breakdown by loan type, amount and customer segment.</w:t>
      </w:r>
    </w:p>
    <w:p w14:paraId="68D81BF8" w14:textId="77777777" w:rsidR="004E08F1" w:rsidRPr="004E08F1" w:rsidRDefault="004E08F1" w:rsidP="004E08F1">
      <w:pPr>
        <w:numPr>
          <w:ilvl w:val="0"/>
          <w:numId w:val="5"/>
        </w:numPr>
      </w:pPr>
      <w:r w:rsidRPr="004E08F1">
        <w:lastRenderedPageBreak/>
        <w:t>The dashboard does not show loan amounts, interest rates or loan types, so exposure (value at risk) cannot be assessed, only the count.</w:t>
      </w:r>
    </w:p>
    <w:p w14:paraId="45B5E6A4" w14:textId="77777777" w:rsidR="004E08F1" w:rsidRPr="004E08F1" w:rsidRDefault="004E08F1" w:rsidP="004E08F1">
      <w:pPr>
        <w:rPr>
          <w:b/>
          <w:bCs/>
        </w:rPr>
      </w:pPr>
      <w:r w:rsidRPr="004E08F1">
        <w:rPr>
          <w:b/>
          <w:bCs/>
        </w:rPr>
        <w:t>7. Dashboard Design Review</w:t>
      </w:r>
    </w:p>
    <w:p w14:paraId="6E5DEA7B" w14:textId="77777777" w:rsidR="004E08F1" w:rsidRPr="004E08F1" w:rsidRDefault="004E08F1" w:rsidP="004E08F1">
      <w:r w:rsidRPr="004E08F1">
        <w:rPr>
          <w:b/>
          <w:bCs/>
        </w:rPr>
        <w:t>Strengths</w:t>
      </w:r>
    </w:p>
    <w:p w14:paraId="23F966C6" w14:textId="77777777" w:rsidR="004E08F1" w:rsidRPr="004E08F1" w:rsidRDefault="004E08F1" w:rsidP="004E08F1">
      <w:pPr>
        <w:numPr>
          <w:ilvl w:val="0"/>
          <w:numId w:val="6"/>
        </w:numPr>
      </w:pPr>
      <w:r w:rsidRPr="004E08F1">
        <w:t>Clean dark theme with a single accent colour and a clear top-to-bottom flow: KPIs, then accounts and trend, then loans and transactions.</w:t>
      </w:r>
    </w:p>
    <w:p w14:paraId="31E87799" w14:textId="77777777" w:rsidR="004E08F1" w:rsidRPr="004E08F1" w:rsidRDefault="004E08F1" w:rsidP="004E08F1">
      <w:pPr>
        <w:numPr>
          <w:ilvl w:val="0"/>
          <w:numId w:val="6"/>
        </w:numPr>
      </w:pPr>
      <w:r w:rsidRPr="004E08F1">
        <w:t>Appropriate chart choices: bars for categories, a line for time, a donut for status share, and a table for exact figures.</w:t>
      </w:r>
    </w:p>
    <w:p w14:paraId="3E40EEDD" w14:textId="77777777" w:rsidR="004E08F1" w:rsidRPr="004E08F1" w:rsidRDefault="004E08F1" w:rsidP="004E08F1">
      <w:pPr>
        <w:numPr>
          <w:ilvl w:val="0"/>
          <w:numId w:val="6"/>
        </w:numPr>
      </w:pPr>
      <w:r w:rsidRPr="004E08F1">
        <w:t>Useful drill-through or back navigation button and slicers for interactivity.</w:t>
      </w:r>
    </w:p>
    <w:p w14:paraId="5C187CA9" w14:textId="77777777" w:rsidR="004E08F1" w:rsidRPr="004E08F1" w:rsidRDefault="004E08F1" w:rsidP="004E08F1">
      <w:r w:rsidRPr="004E08F1">
        <w:rPr>
          <w:b/>
          <w:bCs/>
        </w:rPr>
        <w:t>Issues to fix</w:t>
      </w:r>
    </w:p>
    <w:p w14:paraId="32733A35" w14:textId="77777777" w:rsidR="004E08F1" w:rsidRPr="004E08F1" w:rsidRDefault="004E08F1" w:rsidP="004E08F1">
      <w:pPr>
        <w:numPr>
          <w:ilvl w:val="0"/>
          <w:numId w:val="7"/>
        </w:numPr>
      </w:pPr>
      <w:r w:rsidRPr="004E08F1">
        <w:rPr>
          <w:b/>
          <w:bCs/>
        </w:rPr>
        <w:t>Slicer labelling:</w:t>
      </w:r>
      <w:r w:rsidRPr="004E08F1">
        <w:t xml:space="preserve"> the panel titled </w:t>
      </w:r>
      <w:r w:rsidRPr="004E08F1">
        <w:rPr>
          <w:i/>
          <w:iCs/>
        </w:rPr>
        <w:t>Transaction Type</w:t>
      </w:r>
      <w:r w:rsidRPr="004E08F1">
        <w:t xml:space="preserve"> actually filters on </w:t>
      </w:r>
      <w:r w:rsidRPr="004E08F1">
        <w:rPr>
          <w:i/>
          <w:iCs/>
        </w:rPr>
        <w:t>TransactionDate</w:t>
      </w:r>
      <w:r w:rsidRPr="004E08F1">
        <w:t>. The title and field do not match, and a transaction type filter appears to be missing.</w:t>
      </w:r>
    </w:p>
    <w:p w14:paraId="098CE2CB" w14:textId="77777777" w:rsidR="004E08F1" w:rsidRPr="004E08F1" w:rsidRDefault="004E08F1" w:rsidP="004E08F1">
      <w:pPr>
        <w:numPr>
          <w:ilvl w:val="0"/>
          <w:numId w:val="7"/>
        </w:numPr>
      </w:pPr>
      <w:r w:rsidRPr="004E08F1">
        <w:rPr>
          <w:b/>
          <w:bCs/>
        </w:rPr>
        <w:t>AccountTypeID slicer</w:t>
      </w:r>
      <w:r w:rsidRPr="004E08F1">
        <w:t xml:space="preserve"> shows IDs instead of readable names such as Business or Savings.</w:t>
      </w:r>
    </w:p>
    <w:p w14:paraId="7CE5298F" w14:textId="77777777" w:rsidR="004E08F1" w:rsidRPr="004E08F1" w:rsidRDefault="004E08F1" w:rsidP="004E08F1">
      <w:pPr>
        <w:numPr>
          <w:ilvl w:val="0"/>
          <w:numId w:val="7"/>
        </w:numPr>
      </w:pPr>
      <w:r w:rsidRPr="004E08F1">
        <w:rPr>
          <w:b/>
          <w:bCs/>
        </w:rPr>
        <w:t>Trend chart:</w:t>
      </w:r>
      <w:r w:rsidRPr="004E08F1">
        <w:t xml:space="preserve"> the title says "by Year, Quarter and Month" but only years are shown on the axis, and the y-axis has no label (count or value?).</w:t>
      </w:r>
    </w:p>
    <w:p w14:paraId="7E784C68" w14:textId="77777777" w:rsidR="004E08F1" w:rsidRPr="004E08F1" w:rsidRDefault="004E08F1" w:rsidP="004E08F1">
      <w:pPr>
        <w:numPr>
          <w:ilvl w:val="0"/>
          <w:numId w:val="7"/>
        </w:numPr>
      </w:pPr>
      <w:r w:rsidRPr="004E08F1">
        <w:rPr>
          <w:b/>
          <w:bCs/>
        </w:rPr>
        <w:t>Inconsistent number formats:</w:t>
      </w:r>
      <w:r w:rsidRPr="004E08F1">
        <w:t xml:space="preserve"> KPIs use millions (125.19M) while the table uses Indian digit grouping (12,51,94,599.50). Currency is not shown anywhere.</w:t>
      </w:r>
    </w:p>
    <w:p w14:paraId="68181C8D" w14:textId="77777777" w:rsidR="004E08F1" w:rsidRPr="004E08F1" w:rsidRDefault="004E08F1" w:rsidP="004E08F1">
      <w:pPr>
        <w:numPr>
          <w:ilvl w:val="0"/>
          <w:numId w:val="7"/>
        </w:numPr>
      </w:pPr>
      <w:r w:rsidRPr="004E08F1">
        <w:rPr>
          <w:b/>
          <w:bCs/>
        </w:rPr>
        <w:t>Layout:</w:t>
      </w:r>
      <w:r w:rsidRPr="004E08F1">
        <w:t xml:space="preserve"> the slicer panel leaves large unused space, and the table and loan chart are not aligned to the same grid as the cards above.</w:t>
      </w:r>
    </w:p>
    <w:p w14:paraId="000C4749" w14:textId="77777777" w:rsidR="004E08F1" w:rsidRPr="004E08F1" w:rsidRDefault="004E08F1" w:rsidP="004E08F1">
      <w:pPr>
        <w:numPr>
          <w:ilvl w:val="0"/>
          <w:numId w:val="7"/>
        </w:numPr>
      </w:pPr>
      <w:r w:rsidRPr="004E08F1">
        <w:rPr>
          <w:b/>
          <w:bCs/>
        </w:rPr>
        <w:t>Missing context:</w:t>
      </w:r>
      <w:r w:rsidRPr="004E08F1">
        <w:t xml:space="preserve"> no period selector label, no data-as-of date, and no comparison against targets or prior periods.</w:t>
      </w:r>
    </w:p>
    <w:p w14:paraId="72176ADF" w14:textId="77777777" w:rsidR="004E08F1" w:rsidRPr="004E08F1" w:rsidRDefault="004E08F1" w:rsidP="004E08F1">
      <w:pPr>
        <w:rPr>
          <w:b/>
          <w:bCs/>
        </w:rPr>
      </w:pPr>
      <w:r w:rsidRPr="004E08F1">
        <w:rPr>
          <w:b/>
          <w:bCs/>
        </w:rPr>
        <w:t>8. Recommendations</w:t>
      </w:r>
    </w:p>
    <w:p w14:paraId="076BE56D" w14:textId="77777777" w:rsidR="004E08F1" w:rsidRPr="004E08F1" w:rsidRDefault="004E08F1" w:rsidP="004E08F1">
      <w:pPr>
        <w:numPr>
          <w:ilvl w:val="0"/>
          <w:numId w:val="8"/>
        </w:numPr>
      </w:pPr>
      <w:r w:rsidRPr="004E08F1">
        <w:rPr>
          <w:b/>
          <w:bCs/>
        </w:rPr>
        <w:t>Investigate the 2024 drop</w:t>
      </w:r>
      <w:r w:rsidRPr="004E08F1">
        <w:t xml:space="preserve"> by checking the source data's date range and any date-table or filter issues before publishing the trend.</w:t>
      </w:r>
    </w:p>
    <w:p w14:paraId="514D43D0" w14:textId="77777777" w:rsidR="004E08F1" w:rsidRPr="004E08F1" w:rsidRDefault="004E08F1" w:rsidP="004E08F1">
      <w:pPr>
        <w:numPr>
          <w:ilvl w:val="0"/>
          <w:numId w:val="8"/>
        </w:numPr>
      </w:pPr>
      <w:r w:rsidRPr="004E08F1">
        <w:rPr>
          <w:b/>
          <w:bCs/>
        </w:rPr>
        <w:t>Add a loan-risk view:</w:t>
      </w:r>
      <w:r w:rsidRPr="004E08F1">
        <w:t xml:space="preserve"> overdue count by loan type, amount outstanding and customer segment.</w:t>
      </w:r>
    </w:p>
    <w:p w14:paraId="1C2F6BC4" w14:textId="77777777" w:rsidR="004E08F1" w:rsidRPr="004E08F1" w:rsidRDefault="004E08F1" w:rsidP="004E08F1">
      <w:pPr>
        <w:numPr>
          <w:ilvl w:val="0"/>
          <w:numId w:val="8"/>
        </w:numPr>
      </w:pPr>
      <w:r w:rsidRPr="004E08F1">
        <w:rPr>
          <w:b/>
          <w:bCs/>
        </w:rPr>
        <w:t>Add customer analytics:</w:t>
      </w:r>
      <w:r w:rsidRPr="004E08F1">
        <w:t xml:space="preserve"> transactions and balances per customer, new versus returning customers and top accounts by value.</w:t>
      </w:r>
    </w:p>
    <w:p w14:paraId="6245F294" w14:textId="77777777" w:rsidR="004E08F1" w:rsidRPr="004E08F1" w:rsidRDefault="004E08F1" w:rsidP="004E08F1">
      <w:pPr>
        <w:numPr>
          <w:ilvl w:val="0"/>
          <w:numId w:val="8"/>
        </w:numPr>
      </w:pPr>
      <w:r w:rsidRPr="004E08F1">
        <w:rPr>
          <w:b/>
          <w:bCs/>
        </w:rPr>
        <w:t>Fix slicers and labels:</w:t>
      </w:r>
      <w:r w:rsidRPr="004E08F1">
        <w:t xml:space="preserve"> correct the mismatched title, use names instead of IDs, and add a Transaction Type filter.</w:t>
      </w:r>
    </w:p>
    <w:p w14:paraId="3077F055" w14:textId="77777777" w:rsidR="004E08F1" w:rsidRPr="004E08F1" w:rsidRDefault="004E08F1" w:rsidP="004E08F1">
      <w:pPr>
        <w:numPr>
          <w:ilvl w:val="0"/>
          <w:numId w:val="8"/>
        </w:numPr>
      </w:pPr>
      <w:r w:rsidRPr="004E08F1">
        <w:rPr>
          <w:b/>
          <w:bCs/>
        </w:rPr>
        <w:t>Standardise formatting</w:t>
      </w:r>
      <w:r w:rsidRPr="004E08F1">
        <w:t xml:space="preserve"> with one number convention, a stated currency and clear axis titles.</w:t>
      </w:r>
    </w:p>
    <w:p w14:paraId="044BBB2F" w14:textId="77777777" w:rsidR="004E08F1" w:rsidRPr="004E08F1" w:rsidRDefault="004E08F1" w:rsidP="004E08F1">
      <w:pPr>
        <w:numPr>
          <w:ilvl w:val="0"/>
          <w:numId w:val="8"/>
        </w:numPr>
      </w:pPr>
      <w:r w:rsidRPr="004E08F1">
        <w:rPr>
          <w:b/>
          <w:bCs/>
        </w:rPr>
        <w:t>Add time comparisons</w:t>
      </w:r>
      <w:r w:rsidRPr="004E08F1">
        <w:t xml:space="preserve"> such as year-over-year and month-over-month change on the KPI cards.</w:t>
      </w:r>
    </w:p>
    <w:p w14:paraId="6858A66E" w14:textId="77777777" w:rsidR="004E08F1" w:rsidRPr="004E08F1" w:rsidRDefault="004E08F1" w:rsidP="004E08F1">
      <w:pPr>
        <w:rPr>
          <w:b/>
          <w:bCs/>
        </w:rPr>
      </w:pPr>
      <w:r w:rsidRPr="004E08F1">
        <w:rPr>
          <w:b/>
          <w:bCs/>
        </w:rPr>
        <w:t>9. Conclusion</w:t>
      </w:r>
    </w:p>
    <w:p w14:paraId="2BF5B82F" w14:textId="77777777" w:rsidR="004E08F1" w:rsidRPr="004E08F1" w:rsidRDefault="004E08F1" w:rsidP="004E08F1">
      <w:r w:rsidRPr="004E08F1">
        <w:t xml:space="preserve">The dashboard presents a balanced, well-structured picture of accounts, transactions and loans, and the visual design is clear. The data shows evenly distributed products, near-identical transaction </w:t>
      </w:r>
      <w:r w:rsidRPr="004E08F1">
        <w:lastRenderedPageBreak/>
        <w:t>behaviour across types and an 11% overdue loan share. However, the abrupt end of activity after 2023 and the uniform transaction averages suggest data limitations that should be clarified. With corrected slicers, consistent formatting and a few added risk and customer metrics, this could serve as a solid reporting dashboard.</w:t>
      </w:r>
    </w:p>
    <w:p w14:paraId="3C48FD74" w14:textId="77777777" w:rsidR="007E7896" w:rsidRDefault="007E7896"/>
    <w:sectPr w:rsidR="007E7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6F70"/>
    <w:multiLevelType w:val="multilevel"/>
    <w:tmpl w:val="CE4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48BD"/>
    <w:multiLevelType w:val="multilevel"/>
    <w:tmpl w:val="786C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01E63"/>
    <w:multiLevelType w:val="multilevel"/>
    <w:tmpl w:val="054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E06B7"/>
    <w:multiLevelType w:val="multilevel"/>
    <w:tmpl w:val="933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E5DDE"/>
    <w:multiLevelType w:val="multilevel"/>
    <w:tmpl w:val="92E2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67279"/>
    <w:multiLevelType w:val="multilevel"/>
    <w:tmpl w:val="A4A6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16496D"/>
    <w:multiLevelType w:val="multilevel"/>
    <w:tmpl w:val="267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40563"/>
    <w:multiLevelType w:val="multilevel"/>
    <w:tmpl w:val="A20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095979">
    <w:abstractNumId w:val="1"/>
  </w:num>
  <w:num w:numId="2" w16cid:durableId="197083708">
    <w:abstractNumId w:val="0"/>
  </w:num>
  <w:num w:numId="3" w16cid:durableId="680859363">
    <w:abstractNumId w:val="3"/>
  </w:num>
  <w:num w:numId="4" w16cid:durableId="1905606809">
    <w:abstractNumId w:val="2"/>
  </w:num>
  <w:num w:numId="5" w16cid:durableId="793446382">
    <w:abstractNumId w:val="7"/>
  </w:num>
  <w:num w:numId="6" w16cid:durableId="1254508053">
    <w:abstractNumId w:val="6"/>
  </w:num>
  <w:num w:numId="7" w16cid:durableId="2089381440">
    <w:abstractNumId w:val="5"/>
  </w:num>
  <w:num w:numId="8" w16cid:durableId="508525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F1"/>
    <w:rsid w:val="004E08F1"/>
    <w:rsid w:val="00650359"/>
    <w:rsid w:val="00713A01"/>
    <w:rsid w:val="007E7896"/>
    <w:rsid w:val="00C46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0648"/>
  <w15:chartTrackingRefBased/>
  <w15:docId w15:val="{955DB4FF-E3ED-4587-96BD-39E94C1C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F1"/>
    <w:rPr>
      <w:rFonts w:eastAsiaTheme="majorEastAsia" w:cstheme="majorBidi"/>
      <w:color w:val="272727" w:themeColor="text1" w:themeTint="D8"/>
    </w:rPr>
  </w:style>
  <w:style w:type="paragraph" w:styleId="Title">
    <w:name w:val="Title"/>
    <w:basedOn w:val="Normal"/>
    <w:next w:val="Normal"/>
    <w:link w:val="TitleChar"/>
    <w:uiPriority w:val="10"/>
    <w:qFormat/>
    <w:rsid w:val="004E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F1"/>
    <w:pPr>
      <w:spacing w:before="160"/>
      <w:jc w:val="center"/>
    </w:pPr>
    <w:rPr>
      <w:i/>
      <w:iCs/>
      <w:color w:val="404040" w:themeColor="text1" w:themeTint="BF"/>
    </w:rPr>
  </w:style>
  <w:style w:type="character" w:customStyle="1" w:styleId="QuoteChar">
    <w:name w:val="Quote Char"/>
    <w:basedOn w:val="DefaultParagraphFont"/>
    <w:link w:val="Quote"/>
    <w:uiPriority w:val="29"/>
    <w:rsid w:val="004E08F1"/>
    <w:rPr>
      <w:i/>
      <w:iCs/>
      <w:color w:val="404040" w:themeColor="text1" w:themeTint="BF"/>
    </w:rPr>
  </w:style>
  <w:style w:type="paragraph" w:styleId="ListParagraph">
    <w:name w:val="List Paragraph"/>
    <w:basedOn w:val="Normal"/>
    <w:uiPriority w:val="34"/>
    <w:qFormat/>
    <w:rsid w:val="004E08F1"/>
    <w:pPr>
      <w:ind w:left="720"/>
      <w:contextualSpacing/>
    </w:pPr>
  </w:style>
  <w:style w:type="character" w:styleId="IntenseEmphasis">
    <w:name w:val="Intense Emphasis"/>
    <w:basedOn w:val="DefaultParagraphFont"/>
    <w:uiPriority w:val="21"/>
    <w:qFormat/>
    <w:rsid w:val="004E08F1"/>
    <w:rPr>
      <w:i/>
      <w:iCs/>
      <w:color w:val="2F5496" w:themeColor="accent1" w:themeShade="BF"/>
    </w:rPr>
  </w:style>
  <w:style w:type="paragraph" w:styleId="IntenseQuote">
    <w:name w:val="Intense Quote"/>
    <w:basedOn w:val="Normal"/>
    <w:next w:val="Normal"/>
    <w:link w:val="IntenseQuoteChar"/>
    <w:uiPriority w:val="30"/>
    <w:qFormat/>
    <w:rsid w:val="004E0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8F1"/>
    <w:rPr>
      <w:i/>
      <w:iCs/>
      <w:color w:val="2F5496" w:themeColor="accent1" w:themeShade="BF"/>
    </w:rPr>
  </w:style>
  <w:style w:type="character" w:styleId="IntenseReference">
    <w:name w:val="Intense Reference"/>
    <w:basedOn w:val="DefaultParagraphFont"/>
    <w:uiPriority w:val="32"/>
    <w:qFormat/>
    <w:rsid w:val="004E08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krithikaa RR</dc:creator>
  <cp:keywords/>
  <dc:description/>
  <cp:lastModifiedBy>krithikaa RR</cp:lastModifiedBy>
  <cp:revision>1</cp:revision>
  <dcterms:created xsi:type="dcterms:W3CDTF">2026-10-30T06:34:00Z</dcterms:created>
  <dcterms:modified xsi:type="dcterms:W3CDTF">2026-10-30T06:35:00Z</dcterms:modified>
</cp:coreProperties>
</file>