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pPr>
      <w:r>
        <w:rPr>
          <w:rFonts w:ascii="Arial" w:cs="Arial" w:eastAsia="Arial" w:hAnsi="Arial"/>
          <w:b/>
          <w:bCs/>
          <w:color w:val="1F3864"/>
          <w:sz w:val="52"/>
          <w:szCs w:val="52"/>
        </w:rPr>
        <w:t xml:space="preserve">PROJECT REPORT</w:t>
      </w:r>
    </w:p>
    <w:p>
      <w:pPr>
        <w:spacing w:after="60"/>
      </w:pPr>
      <w:r>
        <w:rPr>
          <w:rFonts w:ascii="Arial" w:cs="Arial" w:eastAsia="Arial" w:hAnsi="Arial"/>
          <w:b/>
          <w:bCs/>
          <w:color w:val="2E75B6"/>
          <w:sz w:val="34"/>
          <w:szCs w:val="34"/>
        </w:rPr>
        <w:t xml:space="preserve">Trust-Aware Financial Research Assistant</w:t>
      </w:r>
    </w:p>
    <w:p>
      <w:pPr>
        <w:spacing w:after="60"/>
      </w:pPr>
      <w:r>
        <w:rPr>
          <w:rFonts w:ascii="Arial" w:cs="Arial" w:eastAsia="Arial" w:hAnsi="Arial"/>
          <w:i/>
          <w:iCs/>
          <w:color w:val="767676"/>
          <w:sz w:val="24"/>
          <w:szCs w:val="24"/>
        </w:rPr>
        <w:t xml:space="preserve">Retrieval-Augmented Generation · Trust Layer · Human-in-the-Loop Validation</w:t>
      </w:r>
    </w:p>
    <w:p>
      <w:pPr>
        <w:pBdr>
          <w:bottom w:val="single" w:color="CCCCCC" w:sz="4" w:space="1"/>
        </w:pBdr>
        <w:spacing w:after="80" w:before="80"/>
      </w:pPr>
    </w:p>
    <w:p>
      <w:pPr>
        <w:spacing w:after="40" w:before="80"/>
      </w:pPr>
      <w:r>
        <w:rPr>
          <w:rFonts w:ascii="Arial" w:cs="Arial" w:eastAsia="Arial" w:hAnsi="Arial"/>
          <w:color w:val="404040"/>
          <w:sz w:val="21"/>
          <w:szCs w:val="21"/>
        </w:rPr>
        <w:t xml:space="preserve">Type:  AI Engineering Portfolio Project</w:t>
      </w:r>
    </w:p>
    <w:p>
      <w:pPr>
        <w:spacing w:after="40"/>
      </w:pPr>
      <w:r>
        <w:rPr>
          <w:rFonts w:ascii="Arial" w:cs="Arial" w:eastAsia="Arial" w:hAnsi="Arial"/>
          <w:color w:val="404040"/>
          <w:sz w:val="21"/>
          <w:szCs w:val="21"/>
        </w:rPr>
        <w:t xml:space="preserve">Dataset:  Infosys · TCS · Cognizant  (Annual Reports, Earnings Calls, Financial News)</w:t>
      </w:r>
    </w:p>
    <w:p>
      <w:pPr>
        <w:spacing w:after="40"/>
      </w:pPr>
      <w:r>
        <w:rPr>
          <w:rFonts w:ascii="Arial" w:cs="Arial" w:eastAsia="Arial" w:hAnsi="Arial"/>
          <w:color w:val="404040"/>
          <w:sz w:val="21"/>
          <w:szCs w:val="21"/>
        </w:rPr>
        <w:t xml:space="preserve">Stack:  Python · ChromaDB · Ollama · LangGraph · Streamlit</w:t>
      </w:r>
    </w:p>
    <w:p>
      <w:r>
        <w:br w:type="page"/>
      </w:r>
    </w:p>
    <w:p>
      <w:pPr>
        <w:pStyle w:val="Heading1"/>
        <w:pBdr>
          <w:bottom w:val="single" w:color="2E75B6" w:sz="6" w:space="4"/>
        </w:pBdr>
        <w:spacing w:after="160" w:before="360"/>
      </w:pPr>
      <w:r>
        <w:rPr>
          <w:rFonts w:ascii="Arial" w:cs="Arial" w:eastAsia="Arial" w:hAnsi="Arial"/>
          <w:b/>
          <w:bCs/>
          <w:color w:val="1F3864"/>
          <w:sz w:val="32"/>
          <w:szCs w:val="32"/>
        </w:rPr>
        <w:t xml:space="preserve">1. Executive Summary</w:t>
      </w:r>
    </w:p>
    <w:p>
      <w:pPr>
        <w:spacing w:after="160" w:line="280"/>
      </w:pPr>
      <w:r>
        <w:rPr>
          <w:rFonts w:ascii="Arial" w:cs="Arial" w:eastAsia="Arial" w:hAnsi="Arial"/>
          <w:sz w:val="21"/>
          <w:szCs w:val="21"/>
        </w:rPr>
        <w:t xml:space="preserve">This project delivers a local-first financial research assistant that lets analysts, students, and investors query real company filings in plain English and receive answers that are explicitly grounded in source text, scored for confidence, and validated before being surfaced. It is not a generic chatbot — it is a purpose-built research tool with a Trust Layer that scores every answer on five measurable factors, detects contradictions and forward-looking language, and generates an Approve / Warn / Review decision for each response.</w:t>
      </w:r>
    </w:p>
    <w:p>
      <w:pPr>
        <w:spacing w:after="160" w:line="280"/>
      </w:pPr>
      <w:r>
        <w:rPr>
          <w:rFonts w:ascii="Arial" w:cs="Arial" w:eastAsia="Arial" w:hAnsi="Arial"/>
          <w:sz w:val="21"/>
          <w:szCs w:val="21"/>
        </w:rPr>
        <w:t xml:space="preserve">The system covers Infosys, TCS, and Cognizant across multiple fiscal years, supporting six output modes from a single chat window: natural language Q&amp;A with trust scoring, multi-company comparison, knowledge graph visualization, human-in-the-loop review, multi-year trend dashboards, and full analyst report generation. Everything runs locally by default using Ollama and a free embedding model, with OpenAI available as a one-toggle alternative.</w:t>
      </w:r>
    </w:p>
    <w:p>
      <w:pPr>
        <w:spacing w:after="160"/>
      </w:pPr>
    </w:p>
    <w:p>
      <w:pPr>
        <w:spacing w:after="160" w:line="280"/>
      </w:pPr>
      <w:r>
        <w:rPr>
          <w:rFonts w:ascii="Arial" w:cs="Arial" w:eastAsia="Arial" w:hAnsi="Arial"/>
          <w:sz w:val="21"/>
          <w:szCs w:val="21"/>
        </w:rPr>
        <w:t xml:space="preserve">Financial professionals and students spend hours reading through hundreds of pages of annual reports just to find one revenue figure or compare two companies across years. This project was built to fix that — to make financial research faster and more reliable without a Bloomberg terminal or an expensive data subscription. The people who benefit most are equity research analysts who need to cross-reference multiple filings quickly, finance students working directly with real company data, small advisory firms doing early-stage due diligence, and independent investors who want to verify what companies actually report rather than rely on media summaries.</w:t>
      </w:r>
    </w:p>
    <w:p>
      <w:pPr>
        <w:spacing w:after="160" w:line="280"/>
      </w:pPr>
      <w:r>
        <w:rPr>
          <w:rFonts w:ascii="Arial" w:cs="Arial" w:eastAsia="Arial" w:hAnsi="Arial"/>
          <w:sz w:val="21"/>
          <w:szCs w:val="21"/>
        </w:rPr>
        <w:t xml:space="preserve">What separates this from any other “chat with your PDFs” tool is accountability. Every answer carries a confidence score broken down by five measurable factors, a direct citation to the source page, and a human review flag when the evidence is thin. In financial research, acting on a wrong number has real consequences — so the system treats answer trustworthiness as a first-class feature, not an afterthought. That is the difference between a demo and something you can actually use to make decisions.</w:t>
      </w:r>
    </w:p>
    <w:p>
      <w:pPr>
        <w:pStyle w:val="Heading1"/>
        <w:pBdr>
          <w:bottom w:val="single" w:color="2E75B6" w:sz="6" w:space="4"/>
        </w:pBdr>
        <w:spacing w:after="160" w:before="360"/>
      </w:pPr>
      <w:r>
        <w:rPr>
          <w:rFonts w:ascii="Arial" w:cs="Arial" w:eastAsia="Arial" w:hAnsi="Arial"/>
          <w:b/>
          <w:bCs/>
          <w:color w:val="1F3864"/>
          <w:sz w:val="32"/>
          <w:szCs w:val="32"/>
        </w:rPr>
        <w:t xml:space="preserve">2. System Architecture</w:t>
      </w:r>
    </w:p>
    <w:p>
      <w:pPr>
        <w:spacing w:after="160" w:line="280"/>
      </w:pPr>
      <w:r>
        <w:rPr>
          <w:rFonts w:ascii="Arial" w:cs="Arial" w:eastAsia="Arial" w:hAnsi="Arial"/>
          <w:sz w:val="21"/>
          <w:szCs w:val="21"/>
        </w:rPr>
        <w:t xml:space="preserve">The pipeline is organized into six discrete layers, each with a single responsibility:</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Layer</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File</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Responsibility</w:t>
            </w:r>
          </w:p>
        </w:tc>
      </w:tr>
      <w:tr>
        <w:tc>
          <w:tcPr>
            <w:tcW w:type="dxa" w:w="2200"/>
            <w:tcBorders>
              <w:top w:val="single" w:color="CCCCCC" w:sz="1"/>
              <w:left w:val="single" w:color="CCCCCC" w:sz="1"/>
              <w:bottom w:val="single" w:color="CCCCCC" w:sz="1"/>
              <w:right w:val="single" w:color="CCCCCC" w:sz="1"/>
            </w:tcBorders>
            <w:shd w:fill="F4F8FD" w:val="clear"/>
            <w:tcMar>
              <w:top w:type="dxa" w:w="80"/>
              <w:left w:type="dxa" w:w="120"/>
              <w:bottom w:type="dxa" w:w="80"/>
              <w:right w:type="dxa" w:w="120"/>
            </w:tcMar>
          </w:tcPr>
          <w:p>
            <w:r>
              <w:rPr>
                <w:rFonts w:ascii="Arial" w:cs="Arial" w:eastAsia="Arial" w:hAnsi="Arial"/>
                <w:b w:val="false"/>
                <w:bCs w:val="false"/>
                <w:color w:val="000000"/>
                <w:sz w:val="19"/>
                <w:szCs w:val="19"/>
              </w:rPr>
              <w:t xml:space="preserve">Document Ingestion</w:t>
            </w:r>
          </w:p>
        </w:tc>
        <w:tc>
          <w:tcPr>
            <w:tcW w:type="dxa" w:w="2600"/>
            <w:tcBorders>
              <w:top w:val="single" w:color="CCCCCC" w:sz="1"/>
              <w:left w:val="single" w:color="CCCCCC" w:sz="1"/>
              <w:bottom w:val="single" w:color="CCCCCC" w:sz="1"/>
              <w:right w:val="single" w:color="CCCCCC" w:sz="1"/>
            </w:tcBorders>
            <w:shd w:fill="F4F8FD" w:val="clear"/>
            <w:tcMar>
              <w:top w:type="dxa" w:w="80"/>
              <w:left w:type="dxa" w:w="120"/>
              <w:bottom w:type="dxa" w:w="80"/>
              <w:right w:type="dxa" w:w="120"/>
            </w:tcMar>
          </w:tcPr>
          <w:p>
            <w:r>
              <w:rPr>
                <w:rFonts w:ascii="Arial" w:cs="Arial" w:eastAsia="Arial" w:hAnsi="Arial"/>
                <w:b w:val="false"/>
                <w:bCs w:val="false"/>
                <w:color w:val="000000"/>
                <w:sz w:val="19"/>
                <w:szCs w:val="19"/>
              </w:rPr>
              <w:t xml:space="preserve">document_processor.py</w:t>
            </w:r>
          </w:p>
        </w:tc>
        <w:tc>
          <w:tcPr>
            <w:tcW w:type="dxa" w:w="4560"/>
            <w:tcBorders>
              <w:top w:val="single" w:color="CCCCCC" w:sz="1"/>
              <w:left w:val="single" w:color="CCCCCC" w:sz="1"/>
              <w:bottom w:val="single" w:color="CCCCCC" w:sz="1"/>
              <w:right w:val="single" w:color="CCCCCC" w:sz="1"/>
            </w:tcBorders>
            <w:shd w:fill="F4F8FD" w:val="clear"/>
            <w:tcMar>
              <w:top w:type="dxa" w:w="80"/>
              <w:left w:type="dxa" w:w="120"/>
              <w:bottom w:type="dxa" w:w="80"/>
              <w:right w:type="dxa" w:w="120"/>
            </w:tcMar>
          </w:tcPr>
          <w:p>
            <w:r>
              <w:rPr>
                <w:rFonts w:ascii="Arial" w:cs="Arial" w:eastAsia="Arial" w:hAnsi="Arial"/>
                <w:b w:val="false"/>
                <w:bCs w:val="false"/>
                <w:color w:val="000000"/>
                <w:sz w:val="19"/>
                <w:szCs w:val="19"/>
              </w:rPr>
              <w:t xml:space="preserve">Load PDFs/TXTs, extract text, resolve company name from folder structure, extract fiscal year from document content (500-line scan) with filename fallback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Vector Store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vector_store.py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Chunk text, embed with SentenceTransformer or OpenAI, persist in ChromaDB; execute company+year-filtered similarity search</w:t>
            </w:r>
          </w:p>
        </w:tc>
      </w:tr>
      <w:tr>
        <w:tc>
          <w:tcPr>
            <w:tcW w:type="dxa" w:w="2200"/>
            <w:tcBorders>
              <w:top w:val="single" w:color="CCCCCC" w:sz="1"/>
              <w:left w:val="single" w:color="CCCCCC" w:sz="1"/>
              <w:bottom w:val="single" w:color="CCCCCC" w:sz="1"/>
              <w:right w:val="single" w:color="CCCCCC" w:sz="1"/>
            </w:tcBorders>
            <w:shd w:fill="F4F8FD" w:val="clear"/>
            <w:tcMar>
              <w:top w:type="dxa" w:w="80"/>
              <w:left w:type="dxa" w:w="120"/>
              <w:bottom w:type="dxa" w:w="80"/>
              <w:right w:type="dxa" w:w="120"/>
            </w:tcMar>
          </w:tcPr>
          <w:p>
            <w:r>
              <w:rPr>
                <w:rFonts w:ascii="Arial" w:cs="Arial" w:eastAsia="Arial" w:hAnsi="Arial"/>
                <w:b w:val="false"/>
                <w:bCs w:val="false"/>
                <w:color w:val="000000"/>
                <w:sz w:val="19"/>
                <w:szCs w:val="19"/>
              </w:rPr>
              <w:t xml:space="preserve">RAG Business Logic</w:t>
            </w:r>
          </w:p>
        </w:tc>
        <w:tc>
          <w:tcPr>
            <w:tcW w:type="dxa" w:w="2600"/>
            <w:tcBorders>
              <w:top w:val="single" w:color="CCCCCC" w:sz="1"/>
              <w:left w:val="single" w:color="CCCCCC" w:sz="1"/>
              <w:bottom w:val="single" w:color="CCCCCC" w:sz="1"/>
              <w:right w:val="single" w:color="CCCCCC" w:sz="1"/>
            </w:tcBorders>
            <w:shd w:fill="F4F8FD" w:val="clear"/>
            <w:tcMar>
              <w:top w:type="dxa" w:w="80"/>
              <w:left w:type="dxa" w:w="120"/>
              <w:bottom w:type="dxa" w:w="80"/>
              <w:right w:type="dxa" w:w="120"/>
            </w:tcMar>
          </w:tcPr>
          <w:p>
            <w:r>
              <w:rPr>
                <w:rFonts w:ascii="Arial" w:cs="Arial" w:eastAsia="Arial" w:hAnsi="Arial"/>
                <w:b w:val="false"/>
                <w:bCs w:val="false"/>
                <w:color w:val="000000"/>
                <w:sz w:val="19"/>
                <w:szCs w:val="19"/>
              </w:rPr>
              <w:t xml:space="preserve">rag_pipeline.py</w:t>
            </w:r>
          </w:p>
        </w:tc>
        <w:tc>
          <w:tcPr>
            <w:tcW w:type="dxa" w:w="4560"/>
            <w:tcBorders>
              <w:top w:val="single" w:color="CCCCCC" w:sz="1"/>
              <w:left w:val="single" w:color="CCCCCC" w:sz="1"/>
              <w:bottom w:val="single" w:color="CCCCCC" w:sz="1"/>
              <w:right w:val="single" w:color="CCCCCC" w:sz="1"/>
            </w:tcBorders>
            <w:shd w:fill="F4F8FD" w:val="clear"/>
            <w:tcMar>
              <w:top w:type="dxa" w:w="80"/>
              <w:left w:type="dxa" w:w="120"/>
              <w:bottom w:type="dxa" w:w="80"/>
              <w:right w:type="dxa" w:w="120"/>
            </w:tcMar>
          </w:tcPr>
          <w:p>
            <w:r>
              <w:rPr>
                <w:rFonts w:ascii="Arial" w:cs="Arial" w:eastAsia="Arial" w:hAnsi="Arial"/>
                <w:b w:val="false"/>
                <w:bCs w:val="false"/>
                <w:color w:val="000000"/>
                <w:sz w:val="19"/>
                <w:szCs w:val="19"/>
              </w:rPr>
              <w:t xml:space="preserve">Six feature functions: Q&amp;A, comparisons, knowledge graph data, ratios, reports, ingest CLI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Trust Validation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trust_engine.py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Five-factor confidence scoring, citation validation, contradiction detection, forward-looking language detection, per-sentence claim verification</w:t>
            </w:r>
          </w:p>
        </w:tc>
      </w:tr>
      <w:tr>
        <w:tc>
          <w:tcPr>
            <w:tcW w:type="dxa" w:w="2200"/>
            <w:tcBorders>
              <w:top w:val="single" w:color="CCCCCC" w:sz="1"/>
              <w:left w:val="single" w:color="CCCCCC" w:sz="1"/>
              <w:bottom w:val="single" w:color="CCCCCC" w:sz="1"/>
              <w:right w:val="single" w:color="CCCCCC" w:sz="1"/>
            </w:tcBorders>
            <w:shd w:fill="F4F8FD" w:val="clear"/>
            <w:tcMar>
              <w:top w:type="dxa" w:w="80"/>
              <w:left w:type="dxa" w:w="120"/>
              <w:bottom w:type="dxa" w:w="80"/>
              <w:right w:type="dxa" w:w="120"/>
            </w:tcMar>
          </w:tcPr>
          <w:p>
            <w:r>
              <w:rPr>
                <w:rFonts w:ascii="Arial" w:cs="Arial" w:eastAsia="Arial" w:hAnsi="Arial"/>
                <w:b w:val="false"/>
                <w:bCs w:val="false"/>
                <w:color w:val="000000"/>
                <w:sz w:val="19"/>
                <w:szCs w:val="19"/>
              </w:rPr>
              <w:t xml:space="preserve">Workflow Routing</w:t>
            </w:r>
          </w:p>
        </w:tc>
        <w:tc>
          <w:tcPr>
            <w:tcW w:type="dxa" w:w="2600"/>
            <w:tcBorders>
              <w:top w:val="single" w:color="CCCCCC" w:sz="1"/>
              <w:left w:val="single" w:color="CCCCCC" w:sz="1"/>
              <w:bottom w:val="single" w:color="CCCCCC" w:sz="1"/>
              <w:right w:val="single" w:color="CCCCCC" w:sz="1"/>
            </w:tcBorders>
            <w:shd w:fill="F4F8FD" w:val="clear"/>
            <w:tcMar>
              <w:top w:type="dxa" w:w="80"/>
              <w:left w:type="dxa" w:w="120"/>
              <w:bottom w:type="dxa" w:w="80"/>
              <w:right w:type="dxa" w:w="120"/>
            </w:tcMar>
          </w:tcPr>
          <w:p>
            <w:r>
              <w:rPr>
                <w:rFonts w:ascii="Arial" w:cs="Arial" w:eastAsia="Arial" w:hAnsi="Arial"/>
                <w:b w:val="false"/>
                <w:bCs w:val="false"/>
                <w:color w:val="000000"/>
                <w:sz w:val="19"/>
                <w:szCs w:val="19"/>
              </w:rPr>
              <w:t xml:space="preserve">langgraph_flow.py</w:t>
            </w:r>
          </w:p>
        </w:tc>
        <w:tc>
          <w:tcPr>
            <w:tcW w:type="dxa" w:w="4560"/>
            <w:tcBorders>
              <w:top w:val="single" w:color="CCCCCC" w:sz="1"/>
              <w:left w:val="single" w:color="CCCCCC" w:sz="1"/>
              <w:bottom w:val="single" w:color="CCCCCC" w:sz="1"/>
              <w:right w:val="single" w:color="CCCCCC" w:sz="1"/>
            </w:tcBorders>
            <w:shd w:fill="F4F8FD" w:val="clear"/>
            <w:tcMar>
              <w:top w:type="dxa" w:w="80"/>
              <w:left w:type="dxa" w:w="120"/>
              <w:bottom w:type="dxa" w:w="80"/>
              <w:right w:type="dxa" w:w="120"/>
            </w:tcMar>
          </w:tcPr>
          <w:p>
            <w:r>
              <w:rPr>
                <w:rFonts w:ascii="Arial" w:cs="Arial" w:eastAsia="Arial" w:hAnsi="Arial"/>
                <w:b w:val="false"/>
                <w:bCs w:val="false"/>
                <w:color w:val="000000"/>
                <w:sz w:val="19"/>
                <w:szCs w:val="19"/>
              </w:rPr>
              <w:t xml:space="preserve">4-node LangGraph workflow classify→route→trust→response; plain-Python fallback if LangGraph unavailable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User Interface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dashboard.py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Streamlit single-window app: Chat, Knowledge Graph, HITL Queue, Dashboard, Report tabs</w:t>
            </w:r>
          </w:p>
        </w:tc>
      </w:tr>
      <w:tr>
        <w:tc>
          <w:tcPr>
            <w:tcW w:type="dxa" w:w="2200"/>
            <w:tcBorders>
              <w:top w:val="single" w:color="CCCCCC" w:sz="1"/>
              <w:left w:val="single" w:color="CCCCCC" w:sz="1"/>
              <w:bottom w:val="single" w:color="CCCCCC" w:sz="1"/>
              <w:right w:val="single" w:color="CCCCCC" w:sz="1"/>
            </w:tcBorders>
            <w:shd w:fill="F4F8FD" w:val="clear"/>
            <w:tcMar>
              <w:top w:type="dxa" w:w="80"/>
              <w:left w:type="dxa" w:w="120"/>
              <w:bottom w:type="dxa" w:w="80"/>
              <w:right w:type="dxa" w:w="120"/>
            </w:tcMar>
          </w:tcPr>
          <w:p>
            <w:r>
              <w:rPr>
                <w:rFonts w:ascii="Arial" w:cs="Arial" w:eastAsia="Arial" w:hAnsi="Arial"/>
                <w:b w:val="false"/>
                <w:bCs w:val="false"/>
                <w:color w:val="000000"/>
                <w:sz w:val="19"/>
                <w:szCs w:val="19"/>
              </w:rPr>
              <w:t xml:space="preserve">Human Review Queue</w:t>
            </w:r>
          </w:p>
        </w:tc>
        <w:tc>
          <w:tcPr>
            <w:tcW w:type="dxa" w:w="2600"/>
            <w:tcBorders>
              <w:top w:val="single" w:color="CCCCCC" w:sz="1"/>
              <w:left w:val="single" w:color="CCCCCC" w:sz="1"/>
              <w:bottom w:val="single" w:color="CCCCCC" w:sz="1"/>
              <w:right w:val="single" w:color="CCCCCC" w:sz="1"/>
            </w:tcBorders>
            <w:shd w:fill="F4F8FD" w:val="clear"/>
            <w:tcMar>
              <w:top w:type="dxa" w:w="80"/>
              <w:left w:type="dxa" w:w="120"/>
              <w:bottom w:type="dxa" w:w="80"/>
              <w:right w:type="dxa" w:w="120"/>
            </w:tcMar>
          </w:tcPr>
          <w:p>
            <w:r>
              <w:rPr>
                <w:rFonts w:ascii="Arial" w:cs="Arial" w:eastAsia="Arial" w:hAnsi="Arial"/>
                <w:b w:val="false"/>
                <w:bCs w:val="false"/>
                <w:color w:val="000000"/>
                <w:sz w:val="19"/>
                <w:szCs w:val="19"/>
              </w:rPr>
              <w:t xml:space="preserve">hitl_queue.py</w:t>
            </w:r>
          </w:p>
        </w:tc>
        <w:tc>
          <w:tcPr>
            <w:tcW w:type="dxa" w:w="4560"/>
            <w:tcBorders>
              <w:top w:val="single" w:color="CCCCCC" w:sz="1"/>
              <w:left w:val="single" w:color="CCCCCC" w:sz="1"/>
              <w:bottom w:val="single" w:color="CCCCCC" w:sz="1"/>
              <w:right w:val="single" w:color="CCCCCC" w:sz="1"/>
            </w:tcBorders>
            <w:shd w:fill="F4F8FD" w:val="clear"/>
            <w:tcMar>
              <w:top w:type="dxa" w:w="80"/>
              <w:left w:type="dxa" w:w="120"/>
              <w:bottom w:type="dxa" w:w="80"/>
              <w:right w:type="dxa" w:w="120"/>
            </w:tcMar>
          </w:tcPr>
          <w:p>
            <w:r>
              <w:rPr>
                <w:rFonts w:ascii="Arial" w:cs="Arial" w:eastAsia="Arial" w:hAnsi="Arial"/>
                <w:b w:val="false"/>
                <w:bCs w:val="false"/>
                <w:color w:val="000000"/>
                <w:sz w:val="19"/>
                <w:szCs w:val="19"/>
              </w:rPr>
              <w:t xml:space="preserve">JSON-backed persistent queue: Approve, Edit, Reject, Need More Evidence; timestamped for audit</w:t>
            </w:r>
          </w:p>
        </w:tc>
      </w:tr>
    </w:tbl>
    <w:p>
      <w:pPr>
        <w:spacing w:after="160"/>
      </w:pPr>
    </w:p>
    <w:p>
      <w:pPr>
        <w:spacing w:after="160" w:line="280"/>
      </w:pPr>
      <w:r>
        <w:rPr>
          <w:rFonts w:ascii="Arial" w:cs="Arial" w:eastAsia="Arial" w:hAnsi="Arial"/>
          <w:sz w:val="21"/>
          <w:szCs w:val="21"/>
        </w:rPr>
        <w:t xml:space="preserve">Document folder structure: documents / ➨SourceType➩ / ➨CompanyName➩ / file.pdf — company name comes from the immediate parent folder, source type from the grandparent folder, filenames can be anything.</w:t>
      </w:r>
    </w:p>
    <w:p>
      <w:pPr>
        <w:pStyle w:val="Heading1"/>
        <w:pBdr>
          <w:bottom w:val="single" w:color="2E75B6" w:sz="6" w:space="4"/>
        </w:pBdr>
        <w:spacing w:after="160" w:before="360"/>
      </w:pPr>
      <w:r>
        <w:rPr>
          <w:rFonts w:ascii="Arial" w:cs="Arial" w:eastAsia="Arial" w:hAnsi="Arial"/>
          <w:b/>
          <w:bCs/>
          <w:color w:val="1F3864"/>
          <w:sz w:val="32"/>
          <w:szCs w:val="32"/>
        </w:rPr>
        <w:t xml:space="preserve">3. Key Features</w:t>
      </w:r>
    </w:p>
    <w:p>
      <w:pPr>
        <w:pStyle w:val="Heading2"/>
        <w:spacing w:after="120" w:before="260"/>
      </w:pPr>
      <w:r>
        <w:rPr>
          <w:rFonts w:ascii="Arial" w:cs="Arial" w:eastAsia="Arial" w:hAnsi="Arial"/>
          <w:b/>
          <w:bCs/>
          <w:color w:val="2E75B6"/>
          <w:sz w:val="26"/>
          <w:szCs w:val="26"/>
        </w:rPr>
        <w:t xml:space="preserve">3.1 Chat Interface with Trust Scoring</w:t>
      </w:r>
    </w:p>
    <w:p>
      <w:pPr>
        <w:spacing w:after="160" w:line="280"/>
      </w:pPr>
      <w:r>
        <w:rPr>
          <w:rFonts w:ascii="Arial" w:cs="Arial" w:eastAsia="Arial" w:hAnsi="Arial"/>
          <w:sz w:val="21"/>
          <w:szCs w:val="21"/>
        </w:rPr>
        <w:t xml:space="preserve">The chat tab is the primary interface. Every question is classified by LangGraph and routed to the right feature. Responses include the answer text, the source document and page, and a full trust card showing the confidence score, band, and decision. All supporting detail — citations, chunk previews, validation breakdown, HITL action — is available as expandable panels beneath each response.</w:t>
      </w:r>
    </w:p>
    <w:p>
      <w:pPr>
        <w:spacing w:after="160"/>
      </w:pPr>
    </w:p>
    <w:p>
      <w:pPr>
        <w:spacing w:after="60" w:before="120"/>
        <w:jc w:val="center"/>
      </w:pPr>
      <w:r>
        <w:drawing>
          <wp:inline distT="0" distB="0" distL="0" distR="0">
            <wp:extent cx="6191250" cy="3495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91250" cy="3495675"/>
                    </a:xfrm>
                    <a:prstGeom prst="rect">
                      <a:avLst/>
                    </a:prstGeom>
                  </pic:spPr>
                </pic:pic>
              </a:graphicData>
            </a:graphic>
          </wp:inline>
        </w:drawing>
      </w:r>
    </w:p>
    <w:p>
      <w:pPr>
        <w:spacing w:after="200" w:before="60"/>
        <w:jc w:val="center"/>
      </w:pPr>
      <w:r>
        <w:rPr>
          <w:rFonts w:ascii="Arial" w:cs="Arial" w:eastAsia="Arial" w:hAnsi="Arial"/>
          <w:i/>
          <w:iCs/>
          <w:color w:val="767676"/>
          <w:sz w:val="18"/>
          <w:szCs w:val="18"/>
        </w:rPr>
        <w:t xml:space="preserve">Figure 1 — Chat interface showing a Cognizant FY2024 revenue query answered with source citation to page 68 of the annual report and Trust Score 81/100 (Medium · Review).</w:t>
      </w:r>
    </w:p>
    <w:p>
      <w:pPr>
        <w:pStyle w:val="Heading2"/>
        <w:spacing w:after="120" w:before="260"/>
      </w:pPr>
      <w:r>
        <w:rPr>
          <w:rFonts w:ascii="Arial" w:cs="Arial" w:eastAsia="Arial" w:hAnsi="Arial"/>
          <w:b/>
          <w:bCs/>
          <w:color w:val="2E75B6"/>
          <w:sz w:val="26"/>
          <w:szCs w:val="26"/>
        </w:rPr>
        <w:t xml:space="preserve">3.2 Multi-Company Comparison</w:t>
      </w:r>
    </w:p>
    <w:p>
      <w:pPr>
        <w:spacing w:after="160" w:line="280"/>
      </w:pPr>
      <w:r>
        <w:rPr>
          <w:rFonts w:ascii="Arial" w:cs="Arial" w:eastAsia="Arial" w:hAnsi="Arial"/>
          <w:sz w:val="21"/>
          <w:szCs w:val="21"/>
        </w:rPr>
        <w:t xml:space="preserve">Asking "Compare TCS and Infosys for FY2025" fires parallel retrieval for each company across the same set of financial dimensions — revenue, profitability, growth, business outlook — and returns a structured side-by-side comparison with confidence scores per dimension. Each company's data is retrieved with a strict company + fiscal year filter to prevent cross-contamination between filings.</w:t>
      </w:r>
    </w:p>
    <w:p>
      <w:pPr>
        <w:pStyle w:val="Heading2"/>
        <w:spacing w:after="120" w:before="260"/>
      </w:pPr>
      <w:r>
        <w:rPr>
          <w:rFonts w:ascii="Arial" w:cs="Arial" w:eastAsia="Arial" w:hAnsi="Arial"/>
          <w:b/>
          <w:bCs/>
          <w:color w:val="2E75B6"/>
          <w:sz w:val="26"/>
          <w:szCs w:val="26"/>
        </w:rPr>
        <w:t xml:space="preserve">3.3 Knowledge Graph</w:t>
      </w:r>
    </w:p>
    <w:p>
      <w:pPr>
        <w:spacing w:after="160" w:line="280"/>
      </w:pPr>
      <w:r>
        <w:rPr>
          <w:rFonts w:ascii="Arial" w:cs="Arial" w:eastAsia="Arial" w:hAnsi="Arial"/>
          <w:sz w:val="21"/>
          <w:szCs w:val="21"/>
        </w:rPr>
        <w:t xml:space="preserve">For any company and fiscal year, six targeted queries extract the company's business segments, products, services, risks, growth opportunities, and management themes. These are rendered as an interactive network graph with color-coded node types. The graph gives a visual overview of the company's structure and strategic priorities that would otherwise require reading dozens of pages.</w:t>
      </w:r>
    </w:p>
    <w:p>
      <w:pPr>
        <w:spacing w:after="160"/>
      </w:pPr>
    </w:p>
    <w:p>
      <w:pPr>
        <w:spacing w:after="60" w:before="120"/>
        <w:jc w:val="center"/>
      </w:pPr>
      <w:r>
        <w:drawing>
          <wp:inline distT="0" distB="0" distL="0" distR="0">
            <wp:extent cx="619125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3486150"/>
                    </a:xfrm>
                    <a:prstGeom prst="rect">
                      <a:avLst/>
                    </a:prstGeom>
                  </pic:spPr>
                </pic:pic>
              </a:graphicData>
            </a:graphic>
          </wp:inline>
        </w:drawing>
      </w:r>
    </w:p>
    <w:p>
      <w:pPr>
        <w:spacing w:after="200" w:before="60"/>
        <w:jc w:val="center"/>
      </w:pPr>
      <w:r>
        <w:rPr>
          <w:rFonts w:ascii="Arial" w:cs="Arial" w:eastAsia="Arial" w:hAnsi="Arial"/>
          <w:i/>
          <w:iCs/>
          <w:color w:val="767676"/>
          <w:sz w:val="18"/>
          <w:szCs w:val="18"/>
        </w:rPr>
        <w:t xml:space="preserve">Figure 2 — Knowledge graph for Cognizant FY2024 showing segments (dark red), products (purple), risks (red), opportunities (orange), and management themes (teal) extracted from the annual report.</w:t>
      </w:r>
    </w:p>
    <w:p>
      <w:pPr>
        <w:pStyle w:val="Heading2"/>
        <w:spacing w:after="120" w:before="260"/>
      </w:pPr>
      <w:r>
        <w:rPr>
          <w:rFonts w:ascii="Arial" w:cs="Arial" w:eastAsia="Arial" w:hAnsi="Arial"/>
          <w:b/>
          <w:bCs/>
          <w:color w:val="2E75B6"/>
          <w:sz w:val="26"/>
          <w:szCs w:val="26"/>
        </w:rPr>
        <w:t xml:space="preserve">3.4 Human-in-the-Loop Review Queue</w:t>
      </w:r>
    </w:p>
    <w:p>
      <w:pPr>
        <w:spacing w:after="160" w:line="280"/>
      </w:pPr>
      <w:r>
        <w:rPr>
          <w:rFonts w:ascii="Arial" w:cs="Arial" w:eastAsia="Arial" w:hAnsi="Arial"/>
          <w:sz w:val="21"/>
          <w:szCs w:val="21"/>
        </w:rPr>
        <w:t xml:space="preserve">Low-confidence answers do not get silently displayed. They are routed to a persistent review queue where a human reviewer can Approve, Edit, Reject, or request more evidence. Every decision is timestamped and stored for audit. This queue is also reachable directly from any chat response via the HITL Actions panel, regardless of confidence score, so reviewers can flag any answer manually.</w:t>
      </w:r>
    </w:p>
    <w:p>
      <w:pPr>
        <w:pStyle w:val="Heading2"/>
        <w:spacing w:after="120" w:before="260"/>
      </w:pPr>
      <w:r>
        <w:rPr>
          <w:rFonts w:ascii="Arial" w:cs="Arial" w:eastAsia="Arial" w:hAnsi="Arial"/>
          <w:b/>
          <w:bCs/>
          <w:color w:val="2E75B6"/>
          <w:sz w:val="26"/>
          <w:szCs w:val="26"/>
        </w:rPr>
        <w:t xml:space="preserve">3.5 Analytics Dashboard</w:t>
      </w:r>
    </w:p>
    <w:p>
      <w:pPr>
        <w:spacing w:after="160" w:line="280"/>
      </w:pPr>
      <w:r>
        <w:rPr>
          <w:rFonts w:ascii="Arial" w:cs="Arial" w:eastAsia="Arial" w:hAnsi="Arial"/>
          <w:sz w:val="21"/>
          <w:szCs w:val="21"/>
        </w:rPr>
        <w:t xml:space="preserve">The dashboard auto-discovers all fiscal years present in the vector store for the selected company and plots four trend charts: Revenue (USD billions), Operating Margin (%), Net Income (USD billions), and Total Headcount. Years with no available data are explicitly captioned rather than silently dropped. The system handles mixed-currency reporting — Infosys reports in Indian Rupees, which is automatically converted to a USD-equivalent for chart display while original figures remain in the Raw Data tab.</w:t>
      </w:r>
    </w:p>
    <w:p>
      <w:pPr>
        <w:spacing w:after="160"/>
      </w:pPr>
    </w:p>
    <w:p>
      <w:pPr>
        <w:spacing w:after="60" w:before="120"/>
        <w:jc w:val="center"/>
      </w:pPr>
      <w:r>
        <w:drawing>
          <wp:inline distT="0" distB="0" distL="0" distR="0">
            <wp:extent cx="6191250"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91250" cy="3505200"/>
                    </a:xfrm>
                    <a:prstGeom prst="rect">
                      <a:avLst/>
                    </a:prstGeom>
                  </pic:spPr>
                </pic:pic>
              </a:graphicData>
            </a:graphic>
          </wp:inline>
        </w:drawing>
      </w:r>
    </w:p>
    <w:p>
      <w:pPr>
        <w:spacing w:after="200" w:before="60"/>
        <w:jc w:val="center"/>
      </w:pPr>
      <w:r>
        <w:rPr>
          <w:rFonts w:ascii="Arial" w:cs="Arial" w:eastAsia="Arial" w:hAnsi="Arial"/>
          <w:i/>
          <w:iCs/>
          <w:color w:val="767676"/>
          <w:sz w:val="18"/>
          <w:szCs w:val="18"/>
        </w:rPr>
        <w:t xml:space="preserve">Figure 3 — Analytics dashboard for Infosys across FY2023–FY2026. Revenue grew from $18.0B to $20.0B. Headcount grew steadily from 211,475 to 328,000. Missing data years are explicitly flagged.</w:t>
      </w:r>
    </w:p>
    <w:p>
      <w:pPr>
        <w:pStyle w:val="Heading2"/>
        <w:spacing w:after="120" w:before="260"/>
      </w:pPr>
      <w:r>
        <w:rPr>
          <w:rFonts w:ascii="Arial" w:cs="Arial" w:eastAsia="Arial" w:hAnsi="Arial"/>
          <w:b/>
          <w:bCs/>
          <w:color w:val="2E75B6"/>
          <w:sz w:val="26"/>
          <w:szCs w:val="26"/>
        </w:rPr>
        <w:t xml:space="preserve">3.6 Analyst Report Generation</w:t>
      </w:r>
    </w:p>
    <w:p>
      <w:pPr>
        <w:spacing w:after="160" w:line="280"/>
      </w:pPr>
      <w:r>
        <w:rPr>
          <w:rFonts w:ascii="Arial" w:cs="Arial" w:eastAsia="Arial" w:hAnsi="Arial"/>
          <w:sz w:val="21"/>
          <w:szCs w:val="21"/>
        </w:rPr>
        <w:t xml:space="preserve">Asking "Generate report for Cognizant" fires six section-specific retrieval queries — Executive Summary, Business Overview, Financial Performance, Operational Highlights, Risks &amp; Challenges, Analyst Verdict — and assembles them into a structured markdown report with per-section confidence scores. The report can be downloaded directly from the Report tab.</w:t>
      </w:r>
    </w:p>
    <w:p>
      <w:pPr>
        <w:pStyle w:val="Heading1"/>
        <w:pBdr>
          <w:bottom w:val="single" w:color="2E75B6" w:sz="6" w:space="4"/>
        </w:pBdr>
        <w:spacing w:after="160" w:before="360"/>
      </w:pPr>
      <w:r>
        <w:rPr>
          <w:rFonts w:ascii="Arial" w:cs="Arial" w:eastAsia="Arial" w:hAnsi="Arial"/>
          <w:b/>
          <w:bCs/>
          <w:color w:val="1F3864"/>
          <w:sz w:val="32"/>
          <w:szCs w:val="32"/>
        </w:rPr>
        <w:t xml:space="preserve">4. Trust Scoring</w:t>
      </w:r>
    </w:p>
    <w:p>
      <w:pPr>
        <w:spacing w:after="160" w:line="280"/>
      </w:pPr>
      <w:r>
        <w:rPr>
          <w:rFonts w:ascii="Arial" w:cs="Arial" w:eastAsia="Arial" w:hAnsi="Arial"/>
          <w:sz w:val="21"/>
          <w:szCs w:val="21"/>
        </w:rPr>
        <w:t xml:space="preserve">Every answer is scored out of 100 across five independently-weighted factors: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56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Factor</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Max</w:t>
            </w:r>
          </w:p>
        </w:tc>
        <w:tc>
          <w:tcPr>
            <w:tcW w:type="dxa" w:w="56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What It Measures</w:t>
            </w:r>
          </w:p>
        </w:tc>
      </w:tr>
      <w:tr>
        <w:tc>
          <w:tcPr>
            <w:tcW w:type="dxa" w:w="2800"/>
            <w:tcBorders>
              <w:top w:val="single" w:color="CCCCCC" w:sz="1"/>
              <w:left w:val="single" w:color="CCCCCC" w:sz="1"/>
              <w:bottom w:val="single" w:color="CCCCCC" w:sz="1"/>
              <w:right w:val="single" w:color="CCCCCC" w:sz="1"/>
            </w:tcBorders>
            <w:shd w:fill="F4F8FD" w:val="clear"/>
            <w:tcMar>
              <w:top w:type="dxa" w:w="80"/>
              <w:left w:type="dxa" w:w="120"/>
              <w:bottom w:type="dxa" w:w="80"/>
              <w:right w:type="dxa" w:w="120"/>
            </w:tcMar>
          </w:tcPr>
          <w:p>
            <w:r>
              <w:rPr>
                <w:rFonts w:ascii="Arial" w:cs="Arial" w:eastAsia="Arial" w:hAnsi="Arial"/>
                <w:b w:val="false"/>
                <w:bCs w:val="false"/>
                <w:color w:val="000000"/>
                <w:sz w:val="19"/>
                <w:szCs w:val="19"/>
              </w:rPr>
              <w:t xml:space="preserve">Source Quality</w:t>
            </w:r>
          </w:p>
        </w:tc>
        <w:tc>
          <w:tcPr>
            <w:tcW w:type="dxa" w:w="900"/>
            <w:tcBorders>
              <w:top w:val="single" w:color="CCCCCC" w:sz="1"/>
              <w:left w:val="single" w:color="CCCCCC" w:sz="1"/>
              <w:bottom w:val="single" w:color="CCCCCC" w:sz="1"/>
              <w:right w:val="single" w:color="CCCCCC" w:sz="1"/>
            </w:tcBorders>
            <w:shd w:fill="F4F8FD" w:val="clear"/>
            <w:tcMar>
              <w:top w:type="dxa" w:w="80"/>
              <w:left w:type="dxa" w:w="120"/>
              <w:bottom w:type="dxa" w:w="80"/>
              <w:right w:type="dxa" w:w="120"/>
            </w:tcMar>
          </w:tcPr>
          <w:p>
            <w:r>
              <w:rPr>
                <w:rFonts w:ascii="Arial" w:cs="Arial" w:eastAsia="Arial" w:hAnsi="Arial"/>
                <w:b w:val="false"/>
                <w:bCs w:val="false"/>
                <w:color w:val="000000"/>
                <w:sz w:val="19"/>
                <w:szCs w:val="19"/>
              </w:rPr>
              <w:t xml:space="preserve">25</w:t>
            </w:r>
          </w:p>
        </w:tc>
        <w:tc>
          <w:tcPr>
            <w:tcW w:type="dxa" w:w="5660"/>
            <w:tcBorders>
              <w:top w:val="single" w:color="CCCCCC" w:sz="1"/>
              <w:left w:val="single" w:color="CCCCCC" w:sz="1"/>
              <w:bottom w:val="single" w:color="CCCCCC" w:sz="1"/>
              <w:right w:val="single" w:color="CCCCCC" w:sz="1"/>
            </w:tcBorders>
            <w:shd w:fill="F4F8FD" w:val="clear"/>
            <w:tcMar>
              <w:top w:type="dxa" w:w="80"/>
              <w:left w:type="dxa" w:w="120"/>
              <w:bottom w:type="dxa" w:w="80"/>
              <w:right w:type="dxa" w:w="120"/>
            </w:tcMar>
          </w:tcPr>
          <w:p>
            <w:r>
              <w:rPr>
                <w:rFonts w:ascii="Arial" w:cs="Arial" w:eastAsia="Arial" w:hAnsi="Arial"/>
                <w:b w:val="false"/>
                <w:bCs w:val="false"/>
                <w:color w:val="000000"/>
                <w:sz w:val="19"/>
                <w:szCs w:val="19"/>
              </w:rPr>
              <w:t xml:space="preserve">Proportion of retrieved chunks from primary sources (annual reports, earnings calls)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Retrieval Relevance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21*</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Mean cosine similarity between query embedding and chunk embeddings. *Calibrated to all-MiniLM-L6-v2’s real range of 0.55–0.65 on financial text</w:t>
            </w:r>
          </w:p>
        </w:tc>
      </w:tr>
      <w:tr>
        <w:tc>
          <w:tcPr>
            <w:tcW w:type="dxa" w:w="2800"/>
            <w:tcBorders>
              <w:top w:val="single" w:color="CCCCCC" w:sz="1"/>
              <w:left w:val="single" w:color="CCCCCC" w:sz="1"/>
              <w:bottom w:val="single" w:color="CCCCCC" w:sz="1"/>
              <w:right w:val="single" w:color="CCCCCC" w:sz="1"/>
            </w:tcBorders>
            <w:shd w:fill="F4F8FD" w:val="clear"/>
            <w:tcMar>
              <w:top w:type="dxa" w:w="80"/>
              <w:left w:type="dxa" w:w="120"/>
              <w:bottom w:type="dxa" w:w="80"/>
              <w:right w:type="dxa" w:w="120"/>
            </w:tcMar>
          </w:tcPr>
          <w:p>
            <w:r>
              <w:rPr>
                <w:rFonts w:ascii="Arial" w:cs="Arial" w:eastAsia="Arial" w:hAnsi="Arial"/>
                <w:b w:val="false"/>
                <w:bCs w:val="false"/>
                <w:color w:val="000000"/>
                <w:sz w:val="19"/>
                <w:szCs w:val="19"/>
              </w:rPr>
              <w:t xml:space="preserve">Citation Completeness</w:t>
            </w:r>
          </w:p>
        </w:tc>
        <w:tc>
          <w:tcPr>
            <w:tcW w:type="dxa" w:w="900"/>
            <w:tcBorders>
              <w:top w:val="single" w:color="CCCCCC" w:sz="1"/>
              <w:left w:val="single" w:color="CCCCCC" w:sz="1"/>
              <w:bottom w:val="single" w:color="CCCCCC" w:sz="1"/>
              <w:right w:val="single" w:color="CCCCCC" w:sz="1"/>
            </w:tcBorders>
            <w:shd w:fill="F4F8FD" w:val="clear"/>
            <w:tcMar>
              <w:top w:type="dxa" w:w="80"/>
              <w:left w:type="dxa" w:w="120"/>
              <w:bottom w:type="dxa" w:w="80"/>
              <w:right w:type="dxa" w:w="120"/>
            </w:tcMar>
          </w:tcPr>
          <w:p>
            <w:r>
              <w:rPr>
                <w:rFonts w:ascii="Arial" w:cs="Arial" w:eastAsia="Arial" w:hAnsi="Arial"/>
                <w:b w:val="false"/>
                <w:bCs w:val="false"/>
                <w:color w:val="000000"/>
                <w:sz w:val="19"/>
                <w:szCs w:val="19"/>
              </w:rPr>
              <w:t xml:space="preserve">20</w:t>
            </w:r>
          </w:p>
        </w:tc>
        <w:tc>
          <w:tcPr>
            <w:tcW w:type="dxa" w:w="5660"/>
            <w:tcBorders>
              <w:top w:val="single" w:color="CCCCCC" w:sz="1"/>
              <w:left w:val="single" w:color="CCCCCC" w:sz="1"/>
              <w:bottom w:val="single" w:color="CCCCCC" w:sz="1"/>
              <w:right w:val="single" w:color="CCCCCC" w:sz="1"/>
            </w:tcBorders>
            <w:shd w:fill="F4F8FD" w:val="clear"/>
            <w:tcMar>
              <w:top w:type="dxa" w:w="80"/>
              <w:left w:type="dxa" w:w="120"/>
              <w:bottom w:type="dxa" w:w="80"/>
              <w:right w:type="dxa" w:w="120"/>
            </w:tcMar>
          </w:tcPr>
          <w:p>
            <w:r>
              <w:rPr>
                <w:rFonts w:ascii="Arial" w:cs="Arial" w:eastAsia="Arial" w:hAnsi="Arial"/>
                <w:b w:val="false"/>
                <w:bCs w:val="false"/>
                <w:color w:val="000000"/>
                <w:sz w:val="19"/>
                <w:szCs w:val="19"/>
              </w:rPr>
              <w:t xml:space="preserve">Every retrieved chunk has a matching citation; metadata (company, year, page) agrees between citation and chunk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Cross-Source Agreement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15</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All retrieved chunks agree on company name and fiscal year — detects mixed-year data contamination</w:t>
            </w:r>
          </w:p>
        </w:tc>
      </w:tr>
      <w:tr>
        <w:tc>
          <w:tcPr>
            <w:tcW w:type="dxa" w:w="2800"/>
            <w:tcBorders>
              <w:top w:val="single" w:color="CCCCCC" w:sz="1"/>
              <w:left w:val="single" w:color="CCCCCC" w:sz="1"/>
              <w:bottom w:val="single" w:color="CCCCCC" w:sz="1"/>
              <w:right w:val="single" w:color="CCCCCC" w:sz="1"/>
            </w:tcBorders>
            <w:shd w:fill="F4F8FD" w:val="clear"/>
            <w:tcMar>
              <w:top w:type="dxa" w:w="80"/>
              <w:left w:type="dxa" w:w="120"/>
              <w:bottom w:type="dxa" w:w="80"/>
              <w:right w:type="dxa" w:w="120"/>
            </w:tcMar>
          </w:tcPr>
          <w:p>
            <w:r>
              <w:rPr>
                <w:rFonts w:ascii="Arial" w:cs="Arial" w:eastAsia="Arial" w:hAnsi="Arial"/>
                <w:b w:val="false"/>
                <w:bCs w:val="false"/>
                <w:color w:val="000000"/>
                <w:sz w:val="19"/>
                <w:szCs w:val="19"/>
              </w:rPr>
              <w:t xml:space="preserve">Calculation Validation</w:t>
            </w:r>
          </w:p>
        </w:tc>
        <w:tc>
          <w:tcPr>
            <w:tcW w:type="dxa" w:w="900"/>
            <w:tcBorders>
              <w:top w:val="single" w:color="CCCCCC" w:sz="1"/>
              <w:left w:val="single" w:color="CCCCCC" w:sz="1"/>
              <w:bottom w:val="single" w:color="CCCCCC" w:sz="1"/>
              <w:right w:val="single" w:color="CCCCCC" w:sz="1"/>
            </w:tcBorders>
            <w:shd w:fill="F4F8FD" w:val="clear"/>
            <w:tcMar>
              <w:top w:type="dxa" w:w="80"/>
              <w:left w:type="dxa" w:w="120"/>
              <w:bottom w:type="dxa" w:w="80"/>
              <w:right w:type="dxa" w:w="120"/>
            </w:tcMar>
          </w:tcPr>
          <w:p>
            <w:r>
              <w:rPr>
                <w:rFonts w:ascii="Arial" w:cs="Arial" w:eastAsia="Arial" w:hAnsi="Arial"/>
                <w:b w:val="false"/>
                <w:bCs w:val="false"/>
                <w:color w:val="000000"/>
                <w:sz w:val="19"/>
                <w:szCs w:val="19"/>
              </w:rPr>
              <w:t xml:space="preserve">15</w:t>
            </w:r>
          </w:p>
        </w:tc>
        <w:tc>
          <w:tcPr>
            <w:tcW w:type="dxa" w:w="5660"/>
            <w:tcBorders>
              <w:top w:val="single" w:color="CCCCCC" w:sz="1"/>
              <w:left w:val="single" w:color="CCCCCC" w:sz="1"/>
              <w:bottom w:val="single" w:color="CCCCCC" w:sz="1"/>
              <w:right w:val="single" w:color="CCCCCC" w:sz="1"/>
            </w:tcBorders>
            <w:shd w:fill="F4F8FD" w:val="clear"/>
            <w:tcMar>
              <w:top w:type="dxa" w:w="80"/>
              <w:left w:type="dxa" w:w="120"/>
              <w:bottom w:type="dxa" w:w="80"/>
              <w:right w:type="dxa" w:w="120"/>
            </w:tcMar>
          </w:tcPr>
          <w:p>
            <w:r>
              <w:rPr>
                <w:rFonts w:ascii="Arial" w:cs="Arial" w:eastAsia="Arial" w:hAnsi="Arial"/>
                <w:b w:val="false"/>
                <w:bCs w:val="false"/>
                <w:color w:val="000000"/>
                <w:sz w:val="19"/>
                <w:szCs w:val="19"/>
              </w:rPr>
              <w:t xml:space="preserve">Dollar/rupee/percent figures in the generated answer appear in the source chunk texts</w:t>
            </w:r>
          </w:p>
        </w:tc>
      </w:tr>
    </w:tbl>
    <w:p>
      <w:pPr>
        <w:spacing w:after="160"/>
      </w:pPr>
    </w:p>
    <w:p>
      <w:pPr>
        <w:spacing w:after="160" w:line="280"/>
      </w:pPr>
      <w:r>
        <w:rPr>
          <w:rFonts w:ascii="Arial" w:cs="Arial" w:eastAsia="Arial" w:hAnsi="Arial"/>
          <w:sz w:val="21"/>
          <w:szCs w:val="21"/>
        </w:rPr>
        <w:t xml:space="preserve">Scores of 85+ are Approved automatically. Scores of 70–84 produce a Warn. Below 70, or whenever contradictions, citation failures, or forward-looking language are detected, the answer is routed to the HITL queue regardless of numeric score.</w:t>
      </w:r>
    </w:p>
    <w:p>
      <w:pPr>
        <w:pStyle w:val="Heading1"/>
        <w:pBdr>
          <w:bottom w:val="single" w:color="2E75B6" w:sz="6" w:space="4"/>
        </w:pBdr>
        <w:spacing w:after="160" w:before="360"/>
      </w:pPr>
      <w:r>
        <w:rPr>
          <w:rFonts w:ascii="Arial" w:cs="Arial" w:eastAsia="Arial" w:hAnsi="Arial"/>
          <w:b/>
          <w:bCs/>
          <w:color w:val="1F3864"/>
          <w:sz w:val="32"/>
          <w:szCs w:val="32"/>
        </w:rPr>
        <w:t xml:space="preserve">5. Technology Choices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Decision</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Chosen</w:t>
            </w:r>
          </w:p>
        </w:tc>
        <w:tc>
          <w:tcPr>
            <w:tcW w:type="dxa" w:w="5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Why</w:t>
            </w:r>
          </w:p>
        </w:tc>
      </w:tr>
      <w:tr>
        <w:tc>
          <w:tcPr>
            <w:tcW w:type="dxa" w:w="2000"/>
            <w:tcBorders>
              <w:top w:val="single" w:color="CCCCCC" w:sz="1"/>
              <w:left w:val="single" w:color="CCCCCC" w:sz="1"/>
              <w:bottom w:val="single" w:color="CCCCCC" w:sz="1"/>
              <w:right w:val="single" w:color="CCCCCC" w:sz="1"/>
            </w:tcBorders>
            <w:shd w:fill="F4F8FD" w:val="clear"/>
            <w:tcMar>
              <w:top w:type="dxa" w:w="80"/>
              <w:left w:type="dxa" w:w="120"/>
              <w:bottom w:type="dxa" w:w="80"/>
              <w:right w:type="dxa" w:w="120"/>
            </w:tcMar>
          </w:tcPr>
          <w:p>
            <w:r>
              <w:rPr>
                <w:rFonts w:ascii="Arial" w:cs="Arial" w:eastAsia="Arial" w:hAnsi="Arial"/>
                <w:b w:val="false"/>
                <w:bCs w:val="false"/>
                <w:color w:val="000000"/>
                <w:sz w:val="19"/>
                <w:szCs w:val="19"/>
              </w:rPr>
              <w:t xml:space="preserve">Vector store</w:t>
            </w:r>
          </w:p>
        </w:tc>
        <w:tc>
          <w:tcPr>
            <w:tcW w:type="dxa" w:w="2000"/>
            <w:tcBorders>
              <w:top w:val="single" w:color="CCCCCC" w:sz="1"/>
              <w:left w:val="single" w:color="CCCCCC" w:sz="1"/>
              <w:bottom w:val="single" w:color="CCCCCC" w:sz="1"/>
              <w:right w:val="single" w:color="CCCCCC" w:sz="1"/>
            </w:tcBorders>
            <w:shd w:fill="F4F8FD" w:val="clear"/>
            <w:tcMar>
              <w:top w:type="dxa" w:w="80"/>
              <w:left w:type="dxa" w:w="120"/>
              <w:bottom w:type="dxa" w:w="80"/>
              <w:right w:type="dxa" w:w="120"/>
            </w:tcMar>
          </w:tcPr>
          <w:p>
            <w:r>
              <w:rPr>
                <w:rFonts w:ascii="Arial" w:cs="Arial" w:eastAsia="Arial" w:hAnsi="Arial"/>
                <w:b w:val="false"/>
                <w:bCs w:val="false"/>
                <w:color w:val="000000"/>
                <w:sz w:val="19"/>
                <w:szCs w:val="19"/>
              </w:rPr>
              <w:t xml:space="preserve">ChromaDB</w:t>
            </w:r>
          </w:p>
        </w:tc>
        <w:tc>
          <w:tcPr>
            <w:tcW w:type="dxa" w:w="5360"/>
            <w:tcBorders>
              <w:top w:val="single" w:color="CCCCCC" w:sz="1"/>
              <w:left w:val="single" w:color="CCCCCC" w:sz="1"/>
              <w:bottom w:val="single" w:color="CCCCCC" w:sz="1"/>
              <w:right w:val="single" w:color="CCCCCC" w:sz="1"/>
            </w:tcBorders>
            <w:shd w:fill="F4F8FD" w:val="clear"/>
            <w:tcMar>
              <w:top w:type="dxa" w:w="80"/>
              <w:left w:type="dxa" w:w="120"/>
              <w:bottom w:type="dxa" w:w="80"/>
              <w:right w:type="dxa" w:w="120"/>
            </w:tcMar>
          </w:tcPr>
          <w:p>
            <w:r>
              <w:rPr>
                <w:rFonts w:ascii="Arial" w:cs="Arial" w:eastAsia="Arial" w:hAnsi="Arial"/>
                <w:b w:val="false"/>
                <w:bCs w:val="false"/>
                <w:color w:val="000000"/>
                <w:sz w:val="19"/>
                <w:szCs w:val="19"/>
              </w:rPr>
              <w:t xml:space="preserve">Stores text + vectors + metadata together; supports $and filtering by company AND fiscal year simultaneously. FAISS does not support server-side metadata filtering.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LLM (local)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Ollama / llama3</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Free, private, no per-token cost. Documents never leave the machine.</w:t>
            </w:r>
          </w:p>
        </w:tc>
      </w:tr>
      <w:tr>
        <w:tc>
          <w:tcPr>
            <w:tcW w:type="dxa" w:w="2000"/>
            <w:tcBorders>
              <w:top w:val="single" w:color="CCCCCC" w:sz="1"/>
              <w:left w:val="single" w:color="CCCCCC" w:sz="1"/>
              <w:bottom w:val="single" w:color="CCCCCC" w:sz="1"/>
              <w:right w:val="single" w:color="CCCCCC" w:sz="1"/>
            </w:tcBorders>
            <w:shd w:fill="F4F8FD" w:val="clear"/>
            <w:tcMar>
              <w:top w:type="dxa" w:w="80"/>
              <w:left w:type="dxa" w:w="120"/>
              <w:bottom w:type="dxa" w:w="80"/>
              <w:right w:type="dxa" w:w="120"/>
            </w:tcMar>
          </w:tcPr>
          <w:p>
            <w:r>
              <w:rPr>
                <w:rFonts w:ascii="Arial" w:cs="Arial" w:eastAsia="Arial" w:hAnsi="Arial"/>
                <w:b w:val="false"/>
                <w:bCs w:val="false"/>
                <w:color w:val="000000"/>
                <w:sz w:val="19"/>
                <w:szCs w:val="19"/>
              </w:rPr>
              <w:t xml:space="preserve">LLM (cloud)</w:t>
            </w:r>
          </w:p>
        </w:tc>
        <w:tc>
          <w:tcPr>
            <w:tcW w:type="dxa" w:w="2000"/>
            <w:tcBorders>
              <w:top w:val="single" w:color="CCCCCC" w:sz="1"/>
              <w:left w:val="single" w:color="CCCCCC" w:sz="1"/>
              <w:bottom w:val="single" w:color="CCCCCC" w:sz="1"/>
              <w:right w:val="single" w:color="CCCCCC" w:sz="1"/>
            </w:tcBorders>
            <w:shd w:fill="F4F8FD" w:val="clear"/>
            <w:tcMar>
              <w:top w:type="dxa" w:w="80"/>
              <w:left w:type="dxa" w:w="120"/>
              <w:bottom w:type="dxa" w:w="80"/>
              <w:right w:type="dxa" w:w="120"/>
            </w:tcMar>
          </w:tcPr>
          <w:p>
            <w:r>
              <w:rPr>
                <w:rFonts w:ascii="Arial" w:cs="Arial" w:eastAsia="Arial" w:hAnsi="Arial"/>
                <w:b w:val="false"/>
                <w:bCs w:val="false"/>
                <w:color w:val="000000"/>
                <w:sz w:val="19"/>
                <w:szCs w:val="19"/>
              </w:rPr>
              <w:t xml:space="preserve">OpenAI GPT-4o</w:t>
            </w:r>
          </w:p>
        </w:tc>
        <w:tc>
          <w:tcPr>
            <w:tcW w:type="dxa" w:w="5360"/>
            <w:tcBorders>
              <w:top w:val="single" w:color="CCCCCC" w:sz="1"/>
              <w:left w:val="single" w:color="CCCCCC" w:sz="1"/>
              <w:bottom w:val="single" w:color="CCCCCC" w:sz="1"/>
              <w:right w:val="single" w:color="CCCCCC" w:sz="1"/>
            </w:tcBorders>
            <w:shd w:fill="F4F8FD" w:val="clear"/>
            <w:tcMar>
              <w:top w:type="dxa" w:w="80"/>
              <w:left w:type="dxa" w:w="120"/>
              <w:bottom w:type="dxa" w:w="80"/>
              <w:right w:type="dxa" w:w="120"/>
            </w:tcMar>
          </w:tcPr>
          <w:p>
            <w:r>
              <w:rPr>
                <w:rFonts w:ascii="Arial" w:cs="Arial" w:eastAsia="Arial" w:hAnsi="Arial"/>
                <w:b w:val="false"/>
                <w:bCs w:val="false"/>
                <w:color w:val="000000"/>
                <w:sz w:val="19"/>
                <w:szCs w:val="19"/>
              </w:rPr>
              <w:t xml:space="preserve">One-toggle upgrade for higher answer quality when needed.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Embeddings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all-MiniLM-L6-v2</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Free, local, ~80MB, no API key required. Runs on CPU to avoid GPU memory instability.</w:t>
            </w:r>
          </w:p>
        </w:tc>
      </w:tr>
      <w:tr>
        <w:tc>
          <w:tcPr>
            <w:tcW w:type="dxa" w:w="2000"/>
            <w:tcBorders>
              <w:top w:val="single" w:color="CCCCCC" w:sz="1"/>
              <w:left w:val="single" w:color="CCCCCC" w:sz="1"/>
              <w:bottom w:val="single" w:color="CCCCCC" w:sz="1"/>
              <w:right w:val="single" w:color="CCCCCC" w:sz="1"/>
            </w:tcBorders>
            <w:shd w:fill="F4F8FD" w:val="clear"/>
            <w:tcMar>
              <w:top w:type="dxa" w:w="80"/>
              <w:left w:type="dxa" w:w="120"/>
              <w:bottom w:type="dxa" w:w="80"/>
              <w:right w:type="dxa" w:w="120"/>
            </w:tcMar>
          </w:tcPr>
          <w:p>
            <w:r>
              <w:rPr>
                <w:rFonts w:ascii="Arial" w:cs="Arial" w:eastAsia="Arial" w:hAnsi="Arial"/>
                <w:b w:val="false"/>
                <w:bCs w:val="false"/>
                <w:color w:val="000000"/>
                <w:sz w:val="19"/>
                <w:szCs w:val="19"/>
              </w:rPr>
              <w:t xml:space="preserve">Workflow</w:t>
            </w:r>
          </w:p>
        </w:tc>
        <w:tc>
          <w:tcPr>
            <w:tcW w:type="dxa" w:w="2000"/>
            <w:tcBorders>
              <w:top w:val="single" w:color="CCCCCC" w:sz="1"/>
              <w:left w:val="single" w:color="CCCCCC" w:sz="1"/>
              <w:bottom w:val="single" w:color="CCCCCC" w:sz="1"/>
              <w:right w:val="single" w:color="CCCCCC" w:sz="1"/>
            </w:tcBorders>
            <w:shd w:fill="F4F8FD" w:val="clear"/>
            <w:tcMar>
              <w:top w:type="dxa" w:w="80"/>
              <w:left w:type="dxa" w:w="120"/>
              <w:bottom w:type="dxa" w:w="80"/>
              <w:right w:type="dxa" w:w="120"/>
            </w:tcMar>
          </w:tcPr>
          <w:p>
            <w:r>
              <w:rPr>
                <w:rFonts w:ascii="Arial" w:cs="Arial" w:eastAsia="Arial" w:hAnsi="Arial"/>
                <w:b w:val="false"/>
                <w:bCs w:val="false"/>
                <w:color w:val="000000"/>
                <w:sz w:val="19"/>
                <w:szCs w:val="19"/>
              </w:rPr>
              <w:t xml:space="preserve">LangGraph</w:t>
            </w:r>
          </w:p>
        </w:tc>
        <w:tc>
          <w:tcPr>
            <w:tcW w:type="dxa" w:w="5360"/>
            <w:tcBorders>
              <w:top w:val="single" w:color="CCCCCC" w:sz="1"/>
              <w:left w:val="single" w:color="CCCCCC" w:sz="1"/>
              <w:bottom w:val="single" w:color="CCCCCC" w:sz="1"/>
              <w:right w:val="single" w:color="CCCCCC" w:sz="1"/>
            </w:tcBorders>
            <w:shd w:fill="F4F8FD" w:val="clear"/>
            <w:tcMar>
              <w:top w:type="dxa" w:w="80"/>
              <w:left w:type="dxa" w:w="120"/>
              <w:bottom w:type="dxa" w:w="80"/>
              <w:right w:type="dxa" w:w="120"/>
            </w:tcMar>
          </w:tcPr>
          <w:p>
            <w:r>
              <w:rPr>
                <w:rFonts w:ascii="Arial" w:cs="Arial" w:eastAsia="Arial" w:hAnsi="Arial"/>
                <w:b w:val="false"/>
                <w:bCs w:val="false"/>
                <w:color w:val="000000"/>
                <w:sz w:val="19"/>
                <w:szCs w:val="19"/>
              </w:rPr>
              <w:t xml:space="preserve">Forces typed state across all routing nodes. Identical plain-Python fallback included.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UI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Streamlit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Single-process architecture — no separate API server. UI and backend share the same Python runtime.</w:t>
            </w:r>
          </w:p>
        </w:tc>
      </w:tr>
      <w:tr>
        <w:tc>
          <w:tcPr>
            <w:tcW w:type="dxa" w:w="2000"/>
            <w:tcBorders>
              <w:top w:val="single" w:color="CCCCCC" w:sz="1"/>
              <w:left w:val="single" w:color="CCCCCC" w:sz="1"/>
              <w:bottom w:val="single" w:color="CCCCCC" w:sz="1"/>
              <w:right w:val="single" w:color="CCCCCC" w:sz="1"/>
            </w:tcBorders>
            <w:shd w:fill="F4F8FD" w:val="clear"/>
            <w:tcMar>
              <w:top w:type="dxa" w:w="80"/>
              <w:left w:type="dxa" w:w="120"/>
              <w:bottom w:type="dxa" w:w="80"/>
              <w:right w:type="dxa" w:w="120"/>
            </w:tcMar>
          </w:tcPr>
          <w:p>
            <w:r>
              <w:rPr>
                <w:rFonts w:ascii="Arial" w:cs="Arial" w:eastAsia="Arial" w:hAnsi="Arial"/>
                <w:b w:val="false"/>
                <w:bCs w:val="false"/>
                <w:color w:val="000000"/>
                <w:sz w:val="19"/>
                <w:szCs w:val="19"/>
              </w:rPr>
              <w:t xml:space="preserve">Graph</w:t>
            </w:r>
          </w:p>
        </w:tc>
        <w:tc>
          <w:tcPr>
            <w:tcW w:type="dxa" w:w="2000"/>
            <w:tcBorders>
              <w:top w:val="single" w:color="CCCCCC" w:sz="1"/>
              <w:left w:val="single" w:color="CCCCCC" w:sz="1"/>
              <w:bottom w:val="single" w:color="CCCCCC" w:sz="1"/>
              <w:right w:val="single" w:color="CCCCCC" w:sz="1"/>
            </w:tcBorders>
            <w:shd w:fill="F4F8FD" w:val="clear"/>
            <w:tcMar>
              <w:top w:type="dxa" w:w="80"/>
              <w:left w:type="dxa" w:w="120"/>
              <w:bottom w:type="dxa" w:w="80"/>
              <w:right w:type="dxa" w:w="120"/>
            </w:tcMar>
          </w:tcPr>
          <w:p>
            <w:r>
              <w:rPr>
                <w:rFonts w:ascii="Arial" w:cs="Arial" w:eastAsia="Arial" w:hAnsi="Arial"/>
                <w:b w:val="false"/>
                <w:bCs w:val="false"/>
                <w:color w:val="000000"/>
                <w:sz w:val="19"/>
                <w:szCs w:val="19"/>
              </w:rPr>
              <w:t xml:space="preserve">NetworkX + PyVis</w:t>
            </w:r>
          </w:p>
        </w:tc>
        <w:tc>
          <w:tcPr>
            <w:tcW w:type="dxa" w:w="5360"/>
            <w:tcBorders>
              <w:top w:val="single" w:color="CCCCCC" w:sz="1"/>
              <w:left w:val="single" w:color="CCCCCC" w:sz="1"/>
              <w:bottom w:val="single" w:color="CCCCCC" w:sz="1"/>
              <w:right w:val="single" w:color="CCCCCC" w:sz="1"/>
            </w:tcBorders>
            <w:shd w:fill="F4F8FD" w:val="clear"/>
            <w:tcMar>
              <w:top w:type="dxa" w:w="80"/>
              <w:left w:type="dxa" w:w="120"/>
              <w:bottom w:type="dxa" w:w="80"/>
              <w:right w:type="dxa" w:w="120"/>
            </w:tcMar>
          </w:tcPr>
          <w:p>
            <w:r>
              <w:rPr>
                <w:rFonts w:ascii="Arial" w:cs="Arial" w:eastAsia="Arial" w:hAnsi="Arial"/>
                <w:b w:val="false"/>
                <w:bCs w:val="false"/>
                <w:color w:val="000000"/>
                <w:sz w:val="19"/>
                <w:szCs w:val="19"/>
              </w:rPr>
              <w:t xml:space="preserve">On-demand, ephemeral graph of ~20–30 nodes. No persistent graph database or infrastructure needed.</w:t>
            </w:r>
          </w:p>
        </w:tc>
      </w:tr>
    </w:tbl>
    <w:p>
      <w:pPr>
        <w:pStyle w:val="Heading1"/>
        <w:pBdr>
          <w:bottom w:val="single" w:color="2E75B6" w:sz="6" w:space="4"/>
        </w:pBdr>
        <w:spacing w:after="160" w:before="360"/>
      </w:pPr>
      <w:r>
        <w:rPr>
          <w:rFonts w:ascii="Arial" w:cs="Arial" w:eastAsia="Arial" w:hAnsi="Arial"/>
          <w:b/>
          <w:bCs/>
          <w:color w:val="1F3864"/>
          <w:sz w:val="32"/>
          <w:szCs w:val="32"/>
        </w:rPr>
        <w:t xml:space="preserve">6. Results &amp; Validation</w:t>
      </w:r>
    </w:p>
    <w:p>
      <w:pPr>
        <w:spacing w:after="160" w:line="280"/>
      </w:pPr>
      <w:r>
        <w:rPr>
          <w:rFonts w:ascii="Arial" w:cs="Arial" w:eastAsia="Arial" w:hAnsi="Arial"/>
          <w:sz w:val="21"/>
          <w:szCs w:val="21"/>
        </w:rPr>
        <w:t xml:space="preserve">The following results were produced from the live running system against the ingested dataset (3 companies, 4 fiscal years, 23,826 chunks). All figures below can be verified by running the same queries against the application.</w:t>
      </w:r>
    </w:p>
    <w:p>
      <w:pPr>
        <w:pStyle w:val="Heading2"/>
        <w:spacing w:after="120" w:before="260"/>
      </w:pPr>
      <w:r>
        <w:rPr>
          <w:rFonts w:ascii="Arial" w:cs="Arial" w:eastAsia="Arial" w:hAnsi="Arial"/>
          <w:b/>
          <w:bCs/>
          <w:color w:val="2E75B6"/>
          <w:sz w:val="26"/>
          <w:szCs w:val="26"/>
        </w:rPr>
        <w:t xml:space="preserve">6.1 Q&amp;A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2400"/>
        <w:gridCol w:w="15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Query</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Answer Produced</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Source</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Trust Score</w:t>
            </w:r>
          </w:p>
        </w:tc>
      </w:tr>
      <w:tr>
        <w:tc>
          <w:tcPr>
            <w:tcW w:type="dxa" w:w="3000"/>
            <w:tcBorders>
              <w:top w:val="single" w:color="CCCCCC" w:sz="1"/>
              <w:left w:val="single" w:color="CCCCCC" w:sz="1"/>
              <w:bottom w:val="single" w:color="CCCCCC" w:sz="1"/>
              <w:right w:val="single" w:color="CCCCCC" w:sz="1"/>
            </w:tcBorders>
            <w:shd w:fill="F4F8FD" w:val="clear"/>
            <w:tcMar>
              <w:top w:type="dxa" w:w="80"/>
              <w:left w:type="dxa" w:w="120"/>
              <w:bottom w:type="dxa" w:w="80"/>
              <w:right w:type="dxa" w:w="120"/>
            </w:tcMar>
          </w:tcPr>
          <w:p>
            <w:r>
              <w:rPr>
                <w:rFonts w:ascii="Arial" w:cs="Arial" w:eastAsia="Arial" w:hAnsi="Arial"/>
                <w:b w:val="false"/>
                <w:bCs w:val="false"/>
                <w:color w:val="000000"/>
                <w:sz w:val="19"/>
                <w:szCs w:val="19"/>
              </w:rPr>
              <w:t xml:space="preserve">What was Cognizant revenue in FY2024?</w:t>
            </w:r>
          </w:p>
        </w:tc>
        <w:tc>
          <w:tcPr>
            <w:tcW w:type="dxa" w:w="2400"/>
            <w:tcBorders>
              <w:top w:val="single" w:color="CCCCCC" w:sz="1"/>
              <w:left w:val="single" w:color="CCCCCC" w:sz="1"/>
              <w:bottom w:val="single" w:color="CCCCCC" w:sz="1"/>
              <w:right w:val="single" w:color="CCCCCC" w:sz="1"/>
            </w:tcBorders>
            <w:shd w:fill="F4F8FD" w:val="clear"/>
            <w:tcMar>
              <w:top w:type="dxa" w:w="80"/>
              <w:left w:type="dxa" w:w="120"/>
              <w:bottom w:type="dxa" w:w="80"/>
              <w:right w:type="dxa" w:w="120"/>
            </w:tcMar>
          </w:tcPr>
          <w:p>
            <w:r>
              <w:rPr>
                <w:rFonts w:ascii="Arial" w:cs="Arial" w:eastAsia="Arial" w:hAnsi="Arial"/>
                <w:b w:val="false"/>
                <w:bCs w:val="false"/>
                <w:color w:val="000000"/>
                <w:sz w:val="19"/>
                <w:szCs w:val="19"/>
              </w:rPr>
              <w:t xml:space="preserve">$19,736 million</w:t>
            </w:r>
          </w:p>
        </w:tc>
        <w:tc>
          <w:tcPr>
            <w:tcW w:type="dxa" w:w="2400"/>
            <w:tcBorders>
              <w:top w:val="single" w:color="CCCCCC" w:sz="1"/>
              <w:left w:val="single" w:color="CCCCCC" w:sz="1"/>
              <w:bottom w:val="single" w:color="CCCCCC" w:sz="1"/>
              <w:right w:val="single" w:color="CCCCCC" w:sz="1"/>
            </w:tcBorders>
            <w:shd w:fill="F4F8FD" w:val="clear"/>
            <w:tcMar>
              <w:top w:type="dxa" w:w="80"/>
              <w:left w:type="dxa" w:w="120"/>
              <w:bottom w:type="dxa" w:w="80"/>
              <w:right w:type="dxa" w:w="120"/>
            </w:tcMar>
          </w:tcPr>
          <w:p>
            <w:r>
              <w:rPr>
                <w:rFonts w:ascii="Arial" w:cs="Arial" w:eastAsia="Arial" w:hAnsi="Arial"/>
                <w:b w:val="false"/>
                <w:bCs w:val="false"/>
                <w:color w:val="000000"/>
                <w:sz w:val="19"/>
                <w:szCs w:val="19"/>
              </w:rPr>
              <w:t xml:space="preserve">PRO013686_8_Cognizant_ARS_2024_PR_LR.pdf, page 68</w:t>
            </w:r>
          </w:p>
        </w:tc>
        <w:tc>
          <w:tcPr>
            <w:tcW w:type="dxa" w:w="1560"/>
            <w:tcBorders>
              <w:top w:val="single" w:color="CCCCCC" w:sz="1"/>
              <w:left w:val="single" w:color="CCCCCC" w:sz="1"/>
              <w:bottom w:val="single" w:color="CCCCCC" w:sz="1"/>
              <w:right w:val="single" w:color="CCCCCC" w:sz="1"/>
            </w:tcBorders>
            <w:shd w:fill="F4F8FD" w:val="clear"/>
            <w:tcMar>
              <w:top w:type="dxa" w:w="80"/>
              <w:left w:type="dxa" w:w="120"/>
              <w:bottom w:type="dxa" w:w="80"/>
              <w:right w:type="dxa" w:w="120"/>
            </w:tcMar>
          </w:tcPr>
          <w:p>
            <w:r>
              <w:rPr>
                <w:rFonts w:ascii="Arial" w:cs="Arial" w:eastAsia="Arial" w:hAnsi="Arial"/>
                <w:b w:val="false"/>
                <w:bCs w:val="false"/>
                <w:color w:val="000000"/>
                <w:sz w:val="19"/>
                <w:szCs w:val="19"/>
              </w:rPr>
              <w:t xml:space="preserve">81/100 · Medium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What was Cognizant revenue in FY2025?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$21,108 million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2025_Annual_Report_Final.pdf, page 71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81/100 · Medium</w:t>
            </w:r>
          </w:p>
        </w:tc>
      </w:tr>
      <w:tr>
        <w:tc>
          <w:tcPr>
            <w:tcW w:type="dxa" w:w="3000"/>
            <w:tcBorders>
              <w:top w:val="single" w:color="CCCCCC" w:sz="1"/>
              <w:left w:val="single" w:color="CCCCCC" w:sz="1"/>
              <w:bottom w:val="single" w:color="CCCCCC" w:sz="1"/>
              <w:right w:val="single" w:color="CCCCCC" w:sz="1"/>
            </w:tcBorders>
            <w:shd w:fill="F4F8FD" w:val="clear"/>
            <w:tcMar>
              <w:top w:type="dxa" w:w="80"/>
              <w:left w:type="dxa" w:w="120"/>
              <w:bottom w:type="dxa" w:w="80"/>
              <w:right w:type="dxa" w:w="120"/>
            </w:tcMar>
          </w:tcPr>
          <w:p>
            <w:r>
              <w:rPr>
                <w:rFonts w:ascii="Arial" w:cs="Arial" w:eastAsia="Arial" w:hAnsi="Arial"/>
                <w:b w:val="false"/>
                <w:bCs w:val="false"/>
                <w:color w:val="000000"/>
                <w:sz w:val="19"/>
                <w:szCs w:val="19"/>
              </w:rPr>
              <w:t xml:space="preserve">What was Infosys revenue in FY2024?</w:t>
            </w:r>
          </w:p>
        </w:tc>
        <w:tc>
          <w:tcPr>
            <w:tcW w:type="dxa" w:w="2400"/>
            <w:tcBorders>
              <w:top w:val="single" w:color="CCCCCC" w:sz="1"/>
              <w:left w:val="single" w:color="CCCCCC" w:sz="1"/>
              <w:bottom w:val="single" w:color="CCCCCC" w:sz="1"/>
              <w:right w:val="single" w:color="CCCCCC" w:sz="1"/>
            </w:tcBorders>
            <w:shd w:fill="F4F8FD" w:val="clear"/>
            <w:tcMar>
              <w:top w:type="dxa" w:w="80"/>
              <w:left w:type="dxa" w:w="120"/>
              <w:bottom w:type="dxa" w:w="80"/>
              <w:right w:type="dxa" w:w="120"/>
            </w:tcMar>
          </w:tcPr>
          <w:p>
            <w:r>
              <w:rPr>
                <w:rFonts w:ascii="Arial" w:cs="Arial" w:eastAsia="Arial" w:hAnsi="Arial"/>
                <w:b w:val="false"/>
                <w:bCs w:val="false"/>
                <w:color w:val="000000"/>
                <w:sz w:val="19"/>
                <w:szCs w:val="19"/>
              </w:rPr>
              <w:t xml:space="preserve">₹153,670 crore</w:t>
            </w:r>
          </w:p>
        </w:tc>
        <w:tc>
          <w:tcPr>
            <w:tcW w:type="dxa" w:w="2400"/>
            <w:tcBorders>
              <w:top w:val="single" w:color="CCCCCC" w:sz="1"/>
              <w:left w:val="single" w:color="CCCCCC" w:sz="1"/>
              <w:bottom w:val="single" w:color="CCCCCC" w:sz="1"/>
              <w:right w:val="single" w:color="CCCCCC" w:sz="1"/>
            </w:tcBorders>
            <w:shd w:fill="F4F8FD" w:val="clear"/>
            <w:tcMar>
              <w:top w:type="dxa" w:w="80"/>
              <w:left w:type="dxa" w:w="120"/>
              <w:bottom w:type="dxa" w:w="80"/>
              <w:right w:type="dxa" w:w="120"/>
            </w:tcMar>
          </w:tcPr>
          <w:p>
            <w:r>
              <w:rPr>
                <w:rFonts w:ascii="Arial" w:cs="Arial" w:eastAsia="Arial" w:hAnsi="Arial"/>
                <w:b w:val="false"/>
                <w:bCs w:val="false"/>
                <w:color w:val="000000"/>
                <w:sz w:val="19"/>
                <w:szCs w:val="19"/>
              </w:rPr>
              <w:t xml:space="preserve">infosys-ar-24.pdf, page 272</w:t>
            </w:r>
          </w:p>
        </w:tc>
        <w:tc>
          <w:tcPr>
            <w:tcW w:type="dxa" w:w="1560"/>
            <w:tcBorders>
              <w:top w:val="single" w:color="CCCCCC" w:sz="1"/>
              <w:left w:val="single" w:color="CCCCCC" w:sz="1"/>
              <w:bottom w:val="single" w:color="CCCCCC" w:sz="1"/>
              <w:right w:val="single" w:color="CCCCCC" w:sz="1"/>
            </w:tcBorders>
            <w:shd w:fill="F4F8FD" w:val="clear"/>
            <w:tcMar>
              <w:top w:type="dxa" w:w="80"/>
              <w:left w:type="dxa" w:w="120"/>
              <w:bottom w:type="dxa" w:w="80"/>
              <w:right w:type="dxa" w:w="120"/>
            </w:tcMar>
          </w:tcPr>
          <w:p>
            <w:r>
              <w:rPr>
                <w:rFonts w:ascii="Arial" w:cs="Arial" w:eastAsia="Arial" w:hAnsi="Arial"/>
                <w:b w:val="false"/>
                <w:bCs w:val="false"/>
                <w:color w:val="000000"/>
                <w:sz w:val="19"/>
                <w:szCs w:val="19"/>
              </w:rPr>
              <w:t xml:space="preserve">95/100 · High ✔ Approve</w:t>
            </w:r>
          </w:p>
        </w:tc>
      </w:tr>
    </w:tbl>
    <w:p>
      <w:pPr>
        <w:spacing w:after="160"/>
      </w:pPr>
    </w:p>
    <w:p>
      <w:pPr>
        <w:pBdr>
          <w:left w:val="single" w:color="2E75B6" w:sz="28" w:space="8"/>
        </w:pBdr>
        <w:shd w:fill="EBF2FA" w:val="clear"/>
        <w:spacing w:after="180" w:before="120"/>
        <w:ind w:left="200"/>
      </w:pPr>
      <w:r>
        <w:rPr>
          <w:rFonts w:ascii="Arial" w:cs="Arial" w:eastAsia="Arial" w:hAnsi="Arial"/>
          <w:i/>
          <w:iCs/>
          <w:color w:val="404040"/>
          <w:sz w:val="21"/>
          <w:szCs w:val="21"/>
        </w:rPr>
        <w:t xml:space="preserve">Cognizant FY2024 ($19,736 million) is verifiable against Cognizant’s Form 10-K, year ended December 31, 2024, Consolidated Statements of Operations. Infosys FY2024 (₹153,670 crore) is verifiable against the Infosys Annual Report FY2024, Consolidated Statement of Profit and Loss.</w:t>
      </w:r>
    </w:p>
    <w:p>
      <w:pPr>
        <w:pStyle w:val="Heading2"/>
        <w:spacing w:after="120" w:before="260"/>
      </w:pPr>
      <w:r>
        <w:rPr>
          <w:rFonts w:ascii="Arial" w:cs="Arial" w:eastAsia="Arial" w:hAnsi="Arial"/>
          <w:b/>
          <w:bCs/>
          <w:color w:val="2E75B6"/>
          <w:sz w:val="26"/>
          <w:szCs w:val="26"/>
        </w:rPr>
        <w:t xml:space="preserve">6.2 Dashboard Results (Infosys FY2023–FY2026)</w:t>
      </w:r>
    </w:p>
    <w:p>
      <w:pPr>
        <w:pStyle w:val="ListParagraph"/>
        <w:numPr>
          <w:ilvl w:val="0"/>
          <w:numId w:val="2"/>
        </w:numPr>
        <w:spacing w:after="80" w:line="276"/>
      </w:pPr>
      <w:r>
        <w:rPr>
          <w:rFonts w:ascii="Arial" w:cs="Arial" w:eastAsia="Arial" w:hAnsi="Arial"/>
          <w:sz w:val="21"/>
          <w:szCs w:val="21"/>
        </w:rPr>
        <w:t xml:space="preserve">Revenue: $18.0B (FY2023) → $19.6B (FY2025) → $20.0B (FY2026) — consistent upward trend</w:t>
      </w:r>
    </w:p>
    <w:p>
      <w:pPr>
        <w:pStyle w:val="ListParagraph"/>
        <w:numPr>
          <w:ilvl w:val="0"/>
          <w:numId w:val="2"/>
        </w:numPr>
        <w:spacing w:after="80" w:line="276"/>
      </w:pPr>
      <w:r>
        <w:rPr>
          <w:rFonts w:ascii="Arial" w:cs="Arial" w:eastAsia="Arial" w:hAnsi="Arial"/>
          <w:sz w:val="21"/>
          <w:szCs w:val="21"/>
        </w:rPr>
        <w:t xml:space="preserve">Operating Margin: 43.0% (FY2023) → 21.1% (FY2024) → 31.6% (FY2025) — sharp dip in FY2024, recovering</w:t>
      </w:r>
    </w:p>
    <w:p>
      <w:pPr>
        <w:pStyle w:val="ListParagraph"/>
        <w:numPr>
          <w:ilvl w:val="0"/>
          <w:numId w:val="2"/>
        </w:numPr>
        <w:spacing w:after="80" w:line="276"/>
      </w:pPr>
      <w:r>
        <w:rPr>
          <w:rFonts w:ascii="Arial" w:cs="Arial" w:eastAsia="Arial" w:hAnsi="Arial"/>
          <w:sz w:val="21"/>
          <w:szCs w:val="21"/>
        </w:rPr>
        <w:t xml:space="preserve">Headcount: 211,475 (FY2023) → 259,924 (FY2024) → 292,063 (FY2025) → 328,000 (FY2026) — steady growth</w:t>
      </w:r>
    </w:p>
    <w:p>
      <w:pPr>
        <w:pStyle w:val="ListParagraph"/>
        <w:numPr>
          <w:ilvl w:val="0"/>
          <w:numId w:val="2"/>
        </w:numPr>
        <w:spacing w:after="80" w:line="276"/>
      </w:pPr>
      <w:r>
        <w:rPr>
          <w:rFonts w:ascii="Arial" w:cs="Arial" w:eastAsia="Arial" w:hAnsi="Arial"/>
          <w:sz w:val="21"/>
          <w:szCs w:val="21"/>
        </w:rPr>
        <w:t xml:space="preserve">FY2026 Net Income: explicitly flagged as no data found rather than showing $0 or extrapolating</w:t>
      </w:r>
    </w:p>
    <w:p>
      <w:pPr>
        <w:pStyle w:val="Heading2"/>
        <w:spacing w:after="120" w:before="260"/>
      </w:pPr>
      <w:r>
        <w:rPr>
          <w:rFonts w:ascii="Arial" w:cs="Arial" w:eastAsia="Arial" w:hAnsi="Arial"/>
          <w:b/>
          <w:bCs/>
          <w:color w:val="2E75B6"/>
          <w:sz w:val="26"/>
          <w:szCs w:val="26"/>
        </w:rPr>
        <w:t xml:space="preserve">6.3 Knowledge Graph Results (Cognizant FY2024)</w:t>
      </w:r>
    </w:p>
    <w:p>
      <w:pPr>
        <w:pStyle w:val="ListParagraph"/>
        <w:numPr>
          <w:ilvl w:val="0"/>
          <w:numId w:val="2"/>
        </w:numPr>
        <w:spacing w:after="80" w:line="276"/>
      </w:pPr>
      <w:r>
        <w:rPr>
          <w:rFonts w:ascii="Arial" w:cs="Arial" w:eastAsia="Arial" w:hAnsi="Arial"/>
          <w:sz w:val="21"/>
          <w:szCs w:val="21"/>
        </w:rPr>
        <w:t xml:space="preserve">Segments: Financial Services, Healthcare and Life Sciences, Manufacturing and Logistics, Travel and Hospitality</w:t>
      </w:r>
    </w:p>
    <w:p>
      <w:pPr>
        <w:pStyle w:val="ListParagraph"/>
        <w:numPr>
          <w:ilvl w:val="0"/>
          <w:numId w:val="2"/>
        </w:numPr>
        <w:spacing w:after="80" w:line="276"/>
      </w:pPr>
      <w:r>
        <w:rPr>
          <w:rFonts w:ascii="Arial" w:cs="Arial" w:eastAsia="Arial" w:hAnsi="Arial"/>
          <w:sz w:val="21"/>
          <w:szCs w:val="21"/>
        </w:rPr>
        <w:t xml:space="preserve">Products: Digital Business Solutions, Artificial Intelligence Services, Cloud Consulting Services</w:t>
      </w:r>
    </w:p>
    <w:p>
      <w:pPr>
        <w:pStyle w:val="ListParagraph"/>
        <w:numPr>
          <w:ilvl w:val="0"/>
          <w:numId w:val="2"/>
        </w:numPr>
        <w:spacing w:after="80" w:line="276"/>
      </w:pPr>
      <w:r>
        <w:rPr>
          <w:rFonts w:ascii="Arial" w:cs="Arial" w:eastAsia="Arial" w:hAnsi="Arial"/>
          <w:sz w:val="21"/>
          <w:szCs w:val="21"/>
        </w:rPr>
        <w:t xml:space="preserve">Risks: Cybersecurity incidents, Pandemics and epidemics, Political unrest</w:t>
      </w:r>
    </w:p>
    <w:p>
      <w:pPr>
        <w:pStyle w:val="ListParagraph"/>
        <w:numPr>
          <w:ilvl w:val="0"/>
          <w:numId w:val="2"/>
        </w:numPr>
        <w:spacing w:after="80" w:line="276"/>
      </w:pPr>
      <w:r>
        <w:rPr>
          <w:rFonts w:ascii="Arial" w:cs="Arial" w:eastAsia="Arial" w:hAnsi="Arial"/>
          <w:sz w:val="21"/>
          <w:szCs w:val="21"/>
        </w:rPr>
        <w:t xml:space="preserve">Management themes: Accelerating Growth, Amplifying Talent, Leading through Transformation, Industry Expertise</w:t>
      </w:r>
    </w:p>
    <w:p>
      <w:pPr>
        <w:pStyle w:val="Heading2"/>
        <w:spacing w:after="120" w:before="260"/>
      </w:pPr>
      <w:r>
        <w:rPr>
          <w:rFonts w:ascii="Arial" w:cs="Arial" w:eastAsia="Arial" w:hAnsi="Arial"/>
          <w:b/>
          <w:bCs/>
          <w:color w:val="2E75B6"/>
          <w:sz w:val="26"/>
          <w:szCs w:val="26"/>
        </w:rPr>
        <w:t xml:space="preserve">6.4 Verification Instructions</w:t>
      </w:r>
    </w:p>
    <w:p>
      <w:pPr>
        <w:pStyle w:val="ListParagraph"/>
        <w:numPr>
          <w:ilvl w:val="0"/>
          <w:numId w:val="2"/>
        </w:numPr>
        <w:spacing w:after="80" w:line="276"/>
      </w:pPr>
      <w:r>
        <w:rPr>
          <w:rFonts w:ascii="Arial" w:cs="Arial" w:eastAsia="Arial" w:hAnsi="Arial"/>
          <w:sz w:val="21"/>
          <w:szCs w:val="21"/>
        </w:rPr>
        <w:t xml:space="preserve">1. Start Ollama: ollama serve (separate terminal)</w:t>
      </w:r>
    </w:p>
    <w:p>
      <w:pPr>
        <w:pStyle w:val="ListParagraph"/>
        <w:numPr>
          <w:ilvl w:val="0"/>
          <w:numId w:val="2"/>
        </w:numPr>
        <w:spacing w:after="80" w:line="276"/>
      </w:pPr>
      <w:r>
        <w:rPr>
          <w:rFonts w:ascii="Arial" w:cs="Arial" w:eastAsia="Arial" w:hAnsi="Arial"/>
          <w:sz w:val="21"/>
          <w:szCs w:val="21"/>
        </w:rPr>
        <w:t xml:space="preserve">2. Ingest: rm -rf chroma_db/  then  python rag_pipeline.py --ingest --docs_folder ./documents</w:t>
      </w:r>
    </w:p>
    <w:p>
      <w:pPr>
        <w:pStyle w:val="ListParagraph"/>
        <w:numPr>
          <w:ilvl w:val="0"/>
          <w:numId w:val="2"/>
        </w:numPr>
        <w:spacing w:after="80" w:line="276"/>
      </w:pPr>
      <w:r>
        <w:rPr>
          <w:rFonts w:ascii="Arial" w:cs="Arial" w:eastAsia="Arial" w:hAnsi="Arial"/>
          <w:sz w:val="21"/>
          <w:szCs w:val="21"/>
        </w:rPr>
        <w:t xml:space="preserve">3. Run: streamlit run dashboard.py</w:t>
      </w:r>
    </w:p>
    <w:p>
      <w:pPr>
        <w:pStyle w:val="ListParagraph"/>
        <w:numPr>
          <w:ilvl w:val="0"/>
          <w:numId w:val="2"/>
        </w:numPr>
        <w:spacing w:after="80" w:line="276"/>
      </w:pPr>
      <w:r>
        <w:rPr>
          <w:rFonts w:ascii="Arial" w:cs="Arial" w:eastAsia="Arial" w:hAnsi="Arial"/>
          <w:sz w:val="21"/>
          <w:szCs w:val="21"/>
        </w:rPr>
        <w:t xml:space="preserve">4. Chat tab: type the queries from Section 6.1 — answers and source citations should match exactly</w:t>
      </w:r>
    </w:p>
    <w:p>
      <w:pPr>
        <w:pStyle w:val="ListParagraph"/>
        <w:numPr>
          <w:ilvl w:val="0"/>
          <w:numId w:val="2"/>
        </w:numPr>
        <w:spacing w:after="80" w:line="276"/>
      </w:pPr>
      <w:r>
        <w:rPr>
          <w:rFonts w:ascii="Arial" w:cs="Arial" w:eastAsia="Arial" w:hAnsi="Arial"/>
          <w:sz w:val="21"/>
          <w:szCs w:val="21"/>
        </w:rPr>
        <w:t xml:space="preserve">5. Dashboard tab: select Infosys — FY2023, FY2024, FY2025, FY2026 auto-detected, all four charts populate</w:t>
      </w:r>
    </w:p>
    <w:p>
      <w:pPr>
        <w:pStyle w:val="ListParagraph"/>
        <w:numPr>
          <w:ilvl w:val="0"/>
          <w:numId w:val="2"/>
        </w:numPr>
        <w:spacing w:after="80" w:line="276"/>
      </w:pPr>
      <w:r>
        <w:rPr>
          <w:rFonts w:ascii="Arial" w:cs="Arial" w:eastAsia="Arial" w:hAnsi="Arial"/>
          <w:sz w:val="21"/>
          <w:szCs w:val="21"/>
        </w:rPr>
        <w:t xml:space="preserve">6. Knowledge Graph tab: type Cognizant, FY2024, click Build Graph — 15–20 nodes matching Section 6.3 labels</w:t>
      </w:r>
    </w:p>
    <w:p>
      <w:pPr>
        <w:pStyle w:val="Heading1"/>
        <w:pBdr>
          <w:bottom w:val="single" w:color="2E75B6" w:sz="6" w:space="4"/>
        </w:pBdr>
        <w:spacing w:after="160" w:before="360"/>
      </w:pPr>
      <w:r>
        <w:rPr>
          <w:rFonts w:ascii="Arial" w:cs="Arial" w:eastAsia="Arial" w:hAnsi="Arial"/>
          <w:b/>
          <w:bCs/>
          <w:color w:val="1F3864"/>
          <w:sz w:val="32"/>
          <w:szCs w:val="32"/>
        </w:rPr>
        <w:t xml:space="preserve">7. How the Trust Layer Works</w:t>
      </w:r>
    </w:p>
    <w:p>
      <w:pPr>
        <w:spacing w:after="160" w:line="280"/>
      </w:pPr>
      <w:r>
        <w:rPr>
          <w:rFonts w:ascii="Arial" w:cs="Arial" w:eastAsia="Arial" w:hAnsi="Arial"/>
          <w:sz w:val="21"/>
          <w:szCs w:val="21"/>
        </w:rPr>
        <w:t xml:space="preserve">The Trust Layer operates entirely on data already assembled during retrieval — it never re-opens the original PDFs, re-runs similarity search, or calls the LLM a second time. Everything is a fast, deterministic computation on the answer_package dict.</w:t>
      </w:r>
    </w:p>
    <w:p>
      <w:pPr>
        <w:spacing w:after="80" w:before="180"/>
      </w:pPr>
      <w:r>
        <w:rPr>
          <w:rFonts w:ascii="Arial" w:cs="Arial" w:eastAsia="Arial" w:hAnsi="Arial"/>
          <w:b/>
          <w:bCs/>
          <w:color w:val="1F3864"/>
          <w:sz w:val="22"/>
          <w:szCs w:val="22"/>
        </w:rPr>
        <w:t xml:space="preserve">Retrieval quality validation</w:t>
      </w:r>
    </w:p>
    <w:p>
      <w:pPr>
        <w:spacing w:after="160" w:line="280"/>
      </w:pPr>
      <w:r>
        <w:rPr>
          <w:rFonts w:ascii="Arial" w:cs="Arial" w:eastAsia="Arial" w:hAnsi="Arial"/>
          <w:sz w:val="21"/>
          <w:szCs w:val="21"/>
        </w:rPr>
        <w:t xml:space="preserve">At query time, ChromaDB computes a cosine similarity score between the query embedding and each retrieved chunk embedding. This score is stored in the answer_package. The Trust Layer reads it back and converts it to a tiered confidence score using a curve calibrated to this embedding model’s real-world range on financial text.</w:t>
      </w:r>
    </w:p>
    <w:p>
      <w:pPr>
        <w:spacing w:after="80" w:before="180"/>
      </w:pPr>
      <w:r>
        <w:rPr>
          <w:rFonts w:ascii="Arial" w:cs="Arial" w:eastAsia="Arial" w:hAnsi="Arial"/>
          <w:b/>
          <w:bCs/>
          <w:color w:val="1F3864"/>
          <w:sz w:val="22"/>
          <w:szCs w:val="22"/>
        </w:rPr>
        <w:t xml:space="preserve">Citation validation</w:t>
      </w:r>
    </w:p>
    <w:p>
      <w:pPr>
        <w:spacing w:after="160" w:line="280"/>
      </w:pPr>
      <w:r>
        <w:rPr>
          <w:rFonts w:ascii="Arial" w:cs="Arial" w:eastAsia="Arial" w:hAnsi="Arial"/>
          <w:sz w:val="21"/>
          <w:szCs w:val="21"/>
        </w:rPr>
        <w:t xml:space="preserve">The Trust Layer cross-checks the citations list against the retrieved_chunks list — a pure dict-to-dict comparison in memory. It verifies that every chunk has a matching citation and that company name, fiscal year, and page number agree between both.</w:t>
      </w:r>
    </w:p>
    <w:p>
      <w:pPr>
        <w:spacing w:after="80" w:before="180"/>
      </w:pPr>
      <w:r>
        <w:rPr>
          <w:rFonts w:ascii="Arial" w:cs="Arial" w:eastAsia="Arial" w:hAnsi="Arial"/>
          <w:b/>
          <w:bCs/>
          <w:color w:val="1F3864"/>
          <w:sz w:val="22"/>
          <w:szCs w:val="22"/>
        </w:rPr>
        <w:t xml:space="preserve">Calculation validation</w:t>
      </w:r>
    </w:p>
    <w:p>
      <w:pPr>
        <w:spacing w:after="160" w:line="280"/>
      </w:pPr>
      <w:r>
        <w:rPr>
          <w:rFonts w:ascii="Arial" w:cs="Arial" w:eastAsia="Arial" w:hAnsi="Arial"/>
          <w:sz w:val="21"/>
          <w:szCs w:val="21"/>
        </w:rPr>
        <w:t xml:space="preserve">Dollar, rupee, and percentage figures are extracted from the generated answer text using a regex pattern, then checked against chunk texts using digit-core matching — stripping all non-digit characters from both sides before comparing. This handles the common case where “$19,736 million” in the answer corresponds to “19,736” in the source chunk, since PDF table extraction strips currency symbols and line-wraps units.</w:t>
      </w:r>
    </w:p>
    <w:p>
      <w:pPr>
        <w:pStyle w:val="Heading1"/>
        <w:pBdr>
          <w:bottom w:val="single" w:color="2E75B6" w:sz="6" w:space="4"/>
        </w:pBdr>
        <w:spacing w:after="160" w:before="360"/>
      </w:pPr>
      <w:r>
        <w:rPr>
          <w:rFonts w:ascii="Arial" w:cs="Arial" w:eastAsia="Arial" w:hAnsi="Arial"/>
          <w:b/>
          <w:bCs/>
          <w:color w:val="1F3864"/>
          <w:sz w:val="32"/>
          <w:szCs w:val="32"/>
        </w:rPr>
        <w:t xml:space="preserve">8.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Category</w:t>
            </w:r>
          </w:p>
        </w:tc>
        <w:tc>
          <w:tcPr>
            <w:tcW w:type="dxa" w:w="5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Technology</w:t>
            </w:r>
          </w:p>
        </w:tc>
      </w:tr>
      <w:tr>
        <w:tc>
          <w:tcPr>
            <w:tcW w:type="dxa" w:w="3500"/>
            <w:tcBorders>
              <w:top w:val="single" w:color="CCCCCC" w:sz="1"/>
              <w:left w:val="single" w:color="CCCCCC" w:sz="1"/>
              <w:bottom w:val="single" w:color="CCCCCC" w:sz="1"/>
              <w:right w:val="single" w:color="CCCCCC" w:sz="1"/>
            </w:tcBorders>
            <w:shd w:fill="F4F8FD" w:val="clear"/>
            <w:tcMar>
              <w:top w:type="dxa" w:w="80"/>
              <w:left w:type="dxa" w:w="120"/>
              <w:bottom w:type="dxa" w:w="80"/>
              <w:right w:type="dxa" w:w="120"/>
            </w:tcMar>
          </w:tcPr>
          <w:p>
            <w:r>
              <w:rPr>
                <w:rFonts w:ascii="Arial" w:cs="Arial" w:eastAsia="Arial" w:hAnsi="Arial"/>
                <w:b w:val="false"/>
                <w:bCs w:val="false"/>
                <w:color w:val="000000"/>
                <w:sz w:val="19"/>
                <w:szCs w:val="19"/>
              </w:rPr>
              <w:t xml:space="preserve">UI &amp; Backend</w:t>
            </w:r>
          </w:p>
        </w:tc>
        <w:tc>
          <w:tcPr>
            <w:tcW w:type="dxa" w:w="5860"/>
            <w:tcBorders>
              <w:top w:val="single" w:color="CCCCCC" w:sz="1"/>
              <w:left w:val="single" w:color="CCCCCC" w:sz="1"/>
              <w:bottom w:val="single" w:color="CCCCCC" w:sz="1"/>
              <w:right w:val="single" w:color="CCCCCC" w:sz="1"/>
            </w:tcBorders>
            <w:shd w:fill="F4F8FD" w:val="clear"/>
            <w:tcMar>
              <w:top w:type="dxa" w:w="80"/>
              <w:left w:type="dxa" w:w="120"/>
              <w:bottom w:type="dxa" w:w="80"/>
              <w:right w:type="dxa" w:w="120"/>
            </w:tcMar>
          </w:tcPr>
          <w:p>
            <w:r>
              <w:rPr>
                <w:rFonts w:ascii="Arial" w:cs="Arial" w:eastAsia="Arial" w:hAnsi="Arial"/>
                <w:b w:val="false"/>
                <w:bCs w:val="false"/>
                <w:color w:val="000000"/>
                <w:sz w:val="19"/>
                <w:szCs w:val="19"/>
              </w:rPr>
              <w:t xml:space="preserve">Streamlit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Vector Database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ChromaDB</w:t>
            </w:r>
          </w:p>
        </w:tc>
      </w:tr>
      <w:tr>
        <w:tc>
          <w:tcPr>
            <w:tcW w:type="dxa" w:w="3500"/>
            <w:tcBorders>
              <w:top w:val="single" w:color="CCCCCC" w:sz="1"/>
              <w:left w:val="single" w:color="CCCCCC" w:sz="1"/>
              <w:bottom w:val="single" w:color="CCCCCC" w:sz="1"/>
              <w:right w:val="single" w:color="CCCCCC" w:sz="1"/>
            </w:tcBorders>
            <w:shd w:fill="F4F8FD" w:val="clear"/>
            <w:tcMar>
              <w:top w:type="dxa" w:w="80"/>
              <w:left w:type="dxa" w:w="120"/>
              <w:bottom w:type="dxa" w:w="80"/>
              <w:right w:type="dxa" w:w="120"/>
            </w:tcMar>
          </w:tcPr>
          <w:p>
            <w:r>
              <w:rPr>
                <w:rFonts w:ascii="Arial" w:cs="Arial" w:eastAsia="Arial" w:hAnsi="Arial"/>
                <w:b w:val="false"/>
                <w:bCs w:val="false"/>
                <w:color w:val="000000"/>
                <w:sz w:val="19"/>
                <w:szCs w:val="19"/>
              </w:rPr>
              <w:t xml:space="preserve">Local Embeddings</w:t>
            </w:r>
          </w:p>
        </w:tc>
        <w:tc>
          <w:tcPr>
            <w:tcW w:type="dxa" w:w="5860"/>
            <w:tcBorders>
              <w:top w:val="single" w:color="CCCCCC" w:sz="1"/>
              <w:left w:val="single" w:color="CCCCCC" w:sz="1"/>
              <w:bottom w:val="single" w:color="CCCCCC" w:sz="1"/>
              <w:right w:val="single" w:color="CCCCCC" w:sz="1"/>
            </w:tcBorders>
            <w:shd w:fill="F4F8FD" w:val="clear"/>
            <w:tcMar>
              <w:top w:type="dxa" w:w="80"/>
              <w:left w:type="dxa" w:w="120"/>
              <w:bottom w:type="dxa" w:w="80"/>
              <w:right w:type="dxa" w:w="120"/>
            </w:tcMar>
          </w:tcPr>
          <w:p>
            <w:r>
              <w:rPr>
                <w:rFonts w:ascii="Arial" w:cs="Arial" w:eastAsia="Arial" w:hAnsi="Arial"/>
                <w:b w:val="false"/>
                <w:bCs w:val="false"/>
                <w:color w:val="000000"/>
                <w:sz w:val="19"/>
                <w:szCs w:val="19"/>
              </w:rPr>
              <w:t xml:space="preserve">SentenceTransformers — all-MiniLM-L6-v2</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Cloud Embeddings (optional)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OpenAI text-embedding-3-small</w:t>
            </w:r>
          </w:p>
        </w:tc>
      </w:tr>
      <w:tr>
        <w:tc>
          <w:tcPr>
            <w:tcW w:type="dxa" w:w="3500"/>
            <w:tcBorders>
              <w:top w:val="single" w:color="CCCCCC" w:sz="1"/>
              <w:left w:val="single" w:color="CCCCCC" w:sz="1"/>
              <w:bottom w:val="single" w:color="CCCCCC" w:sz="1"/>
              <w:right w:val="single" w:color="CCCCCC" w:sz="1"/>
            </w:tcBorders>
            <w:shd w:fill="F4F8FD" w:val="clear"/>
            <w:tcMar>
              <w:top w:type="dxa" w:w="80"/>
              <w:left w:type="dxa" w:w="120"/>
              <w:bottom w:type="dxa" w:w="80"/>
              <w:right w:type="dxa" w:w="120"/>
            </w:tcMar>
          </w:tcPr>
          <w:p>
            <w:r>
              <w:rPr>
                <w:rFonts w:ascii="Arial" w:cs="Arial" w:eastAsia="Arial" w:hAnsi="Arial"/>
                <w:b w:val="false"/>
                <w:bCs w:val="false"/>
                <w:color w:val="000000"/>
                <w:sz w:val="19"/>
                <w:szCs w:val="19"/>
              </w:rPr>
              <w:t xml:space="preserve">Local LLM</w:t>
            </w:r>
          </w:p>
        </w:tc>
        <w:tc>
          <w:tcPr>
            <w:tcW w:type="dxa" w:w="5860"/>
            <w:tcBorders>
              <w:top w:val="single" w:color="CCCCCC" w:sz="1"/>
              <w:left w:val="single" w:color="CCCCCC" w:sz="1"/>
              <w:bottom w:val="single" w:color="CCCCCC" w:sz="1"/>
              <w:right w:val="single" w:color="CCCCCC" w:sz="1"/>
            </w:tcBorders>
            <w:shd w:fill="F4F8FD" w:val="clear"/>
            <w:tcMar>
              <w:top w:type="dxa" w:w="80"/>
              <w:left w:type="dxa" w:w="120"/>
              <w:bottom w:type="dxa" w:w="80"/>
              <w:right w:type="dxa" w:w="120"/>
            </w:tcMar>
          </w:tcPr>
          <w:p>
            <w:r>
              <w:rPr>
                <w:rFonts w:ascii="Arial" w:cs="Arial" w:eastAsia="Arial" w:hAnsi="Arial"/>
                <w:b w:val="false"/>
                <w:bCs w:val="false"/>
                <w:color w:val="000000"/>
                <w:sz w:val="19"/>
                <w:szCs w:val="19"/>
              </w:rPr>
              <w:t xml:space="preserve">Ollama — llama3</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Cloud LLM (optional)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OpenAI GPT-4o</w:t>
            </w:r>
          </w:p>
        </w:tc>
      </w:tr>
      <w:tr>
        <w:tc>
          <w:tcPr>
            <w:tcW w:type="dxa" w:w="3500"/>
            <w:tcBorders>
              <w:top w:val="single" w:color="CCCCCC" w:sz="1"/>
              <w:left w:val="single" w:color="CCCCCC" w:sz="1"/>
              <w:bottom w:val="single" w:color="CCCCCC" w:sz="1"/>
              <w:right w:val="single" w:color="CCCCCC" w:sz="1"/>
            </w:tcBorders>
            <w:shd w:fill="F4F8FD" w:val="clear"/>
            <w:tcMar>
              <w:top w:type="dxa" w:w="80"/>
              <w:left w:type="dxa" w:w="120"/>
              <w:bottom w:type="dxa" w:w="80"/>
              <w:right w:type="dxa" w:w="120"/>
            </w:tcMar>
          </w:tcPr>
          <w:p>
            <w:r>
              <w:rPr>
                <w:rFonts w:ascii="Arial" w:cs="Arial" w:eastAsia="Arial" w:hAnsi="Arial"/>
                <w:b w:val="false"/>
                <w:bCs w:val="false"/>
                <w:color w:val="000000"/>
                <w:sz w:val="19"/>
                <w:szCs w:val="19"/>
              </w:rPr>
              <w:t xml:space="preserve">ML Backend</w:t>
            </w:r>
          </w:p>
        </w:tc>
        <w:tc>
          <w:tcPr>
            <w:tcW w:type="dxa" w:w="5860"/>
            <w:tcBorders>
              <w:top w:val="single" w:color="CCCCCC" w:sz="1"/>
              <w:left w:val="single" w:color="CCCCCC" w:sz="1"/>
              <w:bottom w:val="single" w:color="CCCCCC" w:sz="1"/>
              <w:right w:val="single" w:color="CCCCCC" w:sz="1"/>
            </w:tcBorders>
            <w:shd w:fill="F4F8FD" w:val="clear"/>
            <w:tcMar>
              <w:top w:type="dxa" w:w="80"/>
              <w:left w:type="dxa" w:w="120"/>
              <w:bottom w:type="dxa" w:w="80"/>
              <w:right w:type="dxa" w:w="120"/>
            </w:tcMar>
          </w:tcPr>
          <w:p>
            <w:r>
              <w:rPr>
                <w:rFonts w:ascii="Arial" w:cs="Arial" w:eastAsia="Arial" w:hAnsi="Arial"/>
                <w:b w:val="false"/>
                <w:bCs w:val="false"/>
                <w:color w:val="000000"/>
                <w:sz w:val="19"/>
                <w:szCs w:val="19"/>
              </w:rPr>
              <w:t xml:space="preserve">PyTorch (CPU mode)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Agentic Workflow</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LangGraph</w:t>
            </w:r>
          </w:p>
        </w:tc>
      </w:tr>
      <w:tr>
        <w:tc>
          <w:tcPr>
            <w:tcW w:type="dxa" w:w="3500"/>
            <w:tcBorders>
              <w:top w:val="single" w:color="CCCCCC" w:sz="1"/>
              <w:left w:val="single" w:color="CCCCCC" w:sz="1"/>
              <w:bottom w:val="single" w:color="CCCCCC" w:sz="1"/>
              <w:right w:val="single" w:color="CCCCCC" w:sz="1"/>
            </w:tcBorders>
            <w:shd w:fill="F4F8FD" w:val="clear"/>
            <w:tcMar>
              <w:top w:type="dxa" w:w="80"/>
              <w:left w:type="dxa" w:w="120"/>
              <w:bottom w:type="dxa" w:w="80"/>
              <w:right w:type="dxa" w:w="120"/>
            </w:tcMar>
          </w:tcPr>
          <w:p>
            <w:r>
              <w:rPr>
                <w:rFonts w:ascii="Arial" w:cs="Arial" w:eastAsia="Arial" w:hAnsi="Arial"/>
                <w:b w:val="false"/>
                <w:bCs w:val="false"/>
                <w:color w:val="000000"/>
                <w:sz w:val="19"/>
                <w:szCs w:val="19"/>
              </w:rPr>
              <w:t xml:space="preserve">PDF Extraction</w:t>
            </w:r>
          </w:p>
        </w:tc>
        <w:tc>
          <w:tcPr>
            <w:tcW w:type="dxa" w:w="5860"/>
            <w:tcBorders>
              <w:top w:val="single" w:color="CCCCCC" w:sz="1"/>
              <w:left w:val="single" w:color="CCCCCC" w:sz="1"/>
              <w:bottom w:val="single" w:color="CCCCCC" w:sz="1"/>
              <w:right w:val="single" w:color="CCCCCC" w:sz="1"/>
            </w:tcBorders>
            <w:shd w:fill="F4F8FD" w:val="clear"/>
            <w:tcMar>
              <w:top w:type="dxa" w:w="80"/>
              <w:left w:type="dxa" w:w="120"/>
              <w:bottom w:type="dxa" w:w="80"/>
              <w:right w:type="dxa" w:w="120"/>
            </w:tcMar>
          </w:tcPr>
          <w:p>
            <w:r>
              <w:rPr>
                <w:rFonts w:ascii="Arial" w:cs="Arial" w:eastAsia="Arial" w:hAnsi="Arial"/>
                <w:b w:val="false"/>
                <w:bCs w:val="false"/>
                <w:color w:val="000000"/>
                <w:sz w:val="19"/>
                <w:szCs w:val="19"/>
              </w:rPr>
              <w:t xml:space="preserve">PyMuPDF (fitz)</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Charting</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Plotly</w:t>
            </w:r>
          </w:p>
        </w:tc>
      </w:tr>
      <w:tr>
        <w:tc>
          <w:tcPr>
            <w:tcW w:type="dxa" w:w="3500"/>
            <w:tcBorders>
              <w:top w:val="single" w:color="CCCCCC" w:sz="1"/>
              <w:left w:val="single" w:color="CCCCCC" w:sz="1"/>
              <w:bottom w:val="single" w:color="CCCCCC" w:sz="1"/>
              <w:right w:val="single" w:color="CCCCCC" w:sz="1"/>
            </w:tcBorders>
            <w:shd w:fill="F4F8FD" w:val="clear"/>
            <w:tcMar>
              <w:top w:type="dxa" w:w="80"/>
              <w:left w:type="dxa" w:w="120"/>
              <w:bottom w:type="dxa" w:w="80"/>
              <w:right w:type="dxa" w:w="120"/>
            </w:tcMar>
          </w:tcPr>
          <w:p>
            <w:r>
              <w:rPr>
                <w:rFonts w:ascii="Arial" w:cs="Arial" w:eastAsia="Arial" w:hAnsi="Arial"/>
                <w:b w:val="false"/>
                <w:bCs w:val="false"/>
                <w:color w:val="000000"/>
                <w:sz w:val="19"/>
                <w:szCs w:val="19"/>
              </w:rPr>
              <w:t xml:space="preserve">Graph Visualization</w:t>
            </w:r>
          </w:p>
        </w:tc>
        <w:tc>
          <w:tcPr>
            <w:tcW w:type="dxa" w:w="5860"/>
            <w:tcBorders>
              <w:top w:val="single" w:color="CCCCCC" w:sz="1"/>
              <w:left w:val="single" w:color="CCCCCC" w:sz="1"/>
              <w:bottom w:val="single" w:color="CCCCCC" w:sz="1"/>
              <w:right w:val="single" w:color="CCCCCC" w:sz="1"/>
            </w:tcBorders>
            <w:shd w:fill="F4F8FD" w:val="clear"/>
            <w:tcMar>
              <w:top w:type="dxa" w:w="80"/>
              <w:left w:type="dxa" w:w="120"/>
              <w:bottom w:type="dxa" w:w="80"/>
              <w:right w:type="dxa" w:w="120"/>
            </w:tcMar>
          </w:tcPr>
          <w:p>
            <w:r>
              <w:rPr>
                <w:rFonts w:ascii="Arial" w:cs="Arial" w:eastAsia="Arial" w:hAnsi="Arial"/>
                <w:b w:val="false"/>
                <w:bCs w:val="false"/>
                <w:color w:val="000000"/>
                <w:sz w:val="19"/>
                <w:szCs w:val="19"/>
              </w:rPr>
              <w:t xml:space="preserve">NetworkX + PyVis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HTTP Client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requests (Ollama API)</w:t>
            </w:r>
          </w:p>
        </w:tc>
      </w:tr>
      <w:tr>
        <w:tc>
          <w:tcPr>
            <w:tcW w:type="dxa" w:w="3500"/>
            <w:tcBorders>
              <w:top w:val="single" w:color="CCCCCC" w:sz="1"/>
              <w:left w:val="single" w:color="CCCCCC" w:sz="1"/>
              <w:bottom w:val="single" w:color="CCCCCC" w:sz="1"/>
              <w:right w:val="single" w:color="CCCCCC" w:sz="1"/>
            </w:tcBorders>
            <w:shd w:fill="F4F8FD" w:val="clear"/>
            <w:tcMar>
              <w:top w:type="dxa" w:w="80"/>
              <w:left w:type="dxa" w:w="120"/>
              <w:bottom w:type="dxa" w:w="80"/>
              <w:right w:type="dxa" w:w="120"/>
            </w:tcMar>
          </w:tcPr>
          <w:p>
            <w:r>
              <w:rPr>
                <w:rFonts w:ascii="Arial" w:cs="Arial" w:eastAsia="Arial" w:hAnsi="Arial"/>
                <w:b w:val="false"/>
                <w:bCs w:val="false"/>
                <w:color w:val="000000"/>
                <w:sz w:val="19"/>
                <w:szCs w:val="19"/>
              </w:rPr>
              <w:t xml:space="preserve">Not Used</w:t>
            </w:r>
          </w:p>
        </w:tc>
        <w:tc>
          <w:tcPr>
            <w:tcW w:type="dxa" w:w="5860"/>
            <w:tcBorders>
              <w:top w:val="single" w:color="CCCCCC" w:sz="1"/>
              <w:left w:val="single" w:color="CCCCCC" w:sz="1"/>
              <w:bottom w:val="single" w:color="CCCCCC" w:sz="1"/>
              <w:right w:val="single" w:color="CCCCCC" w:sz="1"/>
            </w:tcBorders>
            <w:shd w:fill="F4F8FD" w:val="clear"/>
            <w:tcMar>
              <w:top w:type="dxa" w:w="80"/>
              <w:left w:type="dxa" w:w="120"/>
              <w:bottom w:type="dxa" w:w="80"/>
              <w:right w:type="dxa" w:w="120"/>
            </w:tcMar>
          </w:tcPr>
          <w:p>
            <w:r>
              <w:rPr>
                <w:rFonts w:ascii="Arial" w:cs="Arial" w:eastAsia="Arial" w:hAnsi="Arial"/>
                <w:b w:val="false"/>
                <w:bCs w:val="false"/>
                <w:color w:val="000000"/>
                <w:sz w:val="19"/>
                <w:szCs w:val="19"/>
              </w:rPr>
              <w:t xml:space="preserve">FastAPI, Flask, Docker, SQL, Neo4j, FAISS</w:t>
            </w:r>
          </w:p>
        </w:tc>
      </w:tr>
    </w:tbl>
    <w:p>
      <w:pPr>
        <w:pStyle w:val="Heading1"/>
        <w:pBdr>
          <w:bottom w:val="single" w:color="2E75B6" w:sz="6" w:space="4"/>
        </w:pBdr>
        <w:spacing w:after="160" w:before="360"/>
      </w:pPr>
      <w:r>
        <w:rPr>
          <w:rFonts w:ascii="Arial" w:cs="Arial" w:eastAsia="Arial" w:hAnsi="Arial"/>
          <w:b/>
          <w:bCs/>
          <w:color w:val="1F3864"/>
          <w:sz w:val="32"/>
          <w:szCs w:val="32"/>
        </w:rPr>
        <w:t xml:space="preserve">9. Known Limitations</w:t>
      </w:r>
    </w:p>
    <w:p>
      <w:pPr>
        <w:pStyle w:val="ListParagraph"/>
        <w:numPr>
          <w:ilvl w:val="0"/>
          <w:numId w:val="2"/>
        </w:numPr>
        <w:spacing w:after="80" w:line="276"/>
      </w:pPr>
      <w:r>
        <w:rPr>
          <w:rFonts w:ascii="Arial" w:cs="Arial" w:eastAsia="Arial" w:hAnsi="Arial"/>
          <w:sz w:val="21"/>
          <w:szCs w:val="21"/>
        </w:rPr>
        <w:t xml:space="preserve">Company alias matching is exact — ‘TCS’ and ‘Tata Consultancy Services’ are treated as different companies.</w:t>
      </w:r>
    </w:p>
    <w:p>
      <w:pPr>
        <w:pStyle w:val="ListParagraph"/>
        <w:numPr>
          <w:ilvl w:val="0"/>
          <w:numId w:val="2"/>
        </w:numPr>
        <w:spacing w:after="80" w:line="276"/>
      </w:pPr>
      <w:r>
        <w:rPr>
          <w:rFonts w:ascii="Arial" w:cs="Arial" w:eastAsia="Arial" w:hAnsi="Arial"/>
          <w:sz w:val="21"/>
          <w:szCs w:val="21"/>
        </w:rPr>
        <w:t xml:space="preserve">Trust score weights are heuristic, not derived from a labeled evaluation dataset.</w:t>
      </w:r>
    </w:p>
    <w:p>
      <w:pPr>
        <w:pStyle w:val="ListParagraph"/>
        <w:numPr>
          <w:ilvl w:val="0"/>
          <w:numId w:val="2"/>
        </w:numPr>
        <w:spacing w:after="80" w:line="276"/>
      </w:pPr>
      <w:r>
        <w:rPr>
          <w:rFonts w:ascii="Arial" w:cs="Arial" w:eastAsia="Arial" w:hAnsi="Arial"/>
          <w:sz w:val="21"/>
          <w:szCs w:val="21"/>
        </w:rPr>
        <w:t xml:space="preserve">INR→USD conversion uses a fixed ~83 rate for chart display. Not a live exchange rate.</w:t>
      </w:r>
    </w:p>
    <w:p>
      <w:pPr>
        <w:pStyle w:val="ListParagraph"/>
        <w:numPr>
          <w:ilvl w:val="0"/>
          <w:numId w:val="2"/>
        </w:numPr>
        <w:spacing w:after="80" w:line="276"/>
      </w:pPr>
      <w:r>
        <w:rPr>
          <w:rFonts w:ascii="Arial" w:cs="Arial" w:eastAsia="Arial" w:hAnsi="Arial"/>
          <w:sz w:val="21"/>
          <w:szCs w:val="21"/>
        </w:rPr>
        <w:t xml:space="preserve">Adding a new document requires deleting chroma_db/ and re-ingesting the full corpus.</w:t>
      </w:r>
    </w:p>
    <w:p>
      <w:r>
        <w:br w:type="page"/>
      </w:r>
    </w:p>
    <w:p>
      <w:pPr>
        <w:pStyle w:val="Heading1"/>
        <w:pBdr>
          <w:bottom w:val="single" w:color="2E75B6" w:sz="6" w:space="4"/>
        </w:pBdr>
        <w:spacing w:after="160" w:before="360"/>
      </w:pPr>
      <w:r>
        <w:rPr>
          <w:rFonts w:ascii="Arial" w:cs="Arial" w:eastAsia="Arial" w:hAnsi="Arial"/>
          <w:b/>
          <w:bCs/>
          <w:color w:val="1F3864"/>
          <w:sz w:val="32"/>
          <w:szCs w:val="32"/>
        </w:rPr>
        <w:t xml:space="preserve">Appendix — Answer Package Schema</w:t>
      </w:r>
    </w:p>
    <w:p>
      <w:pPr>
        <w:spacing w:after="160" w:line="280"/>
      </w:pPr>
      <w:r>
        <w:rPr>
          <w:rFonts w:ascii="Arial" w:cs="Arial" w:eastAsia="Arial" w:hAnsi="Arial"/>
          <w:sz w:val="21"/>
          <w:szCs w:val="21"/>
        </w:rPr>
        <w:t xml:space="preserve">Every RAG query produces an answer_package dict. Its structure is frozen by project_contract.json. See sample_answer_package.json and sample_trust_card.json for a real computed example using Cognizant FY2024 data (96/100 · High · Approve).</w:t>
      </w:r>
    </w:p>
    <w:p>
      <w:pPr>
        <w:spacing w:after="80" w:before="180"/>
      </w:pPr>
      <w:r>
        <w:rPr>
          <w:rFonts w:ascii="Arial" w:cs="Arial" w:eastAsia="Arial" w:hAnsi="Arial"/>
          <w:b/>
          <w:bCs/>
          <w:color w:val="1F3864"/>
          <w:sz w:val="22"/>
          <w:szCs w:val="22"/>
        </w:rPr>
        <w:t xml:space="preserve">answer_package fields</w:t>
      </w:r>
    </w:p>
    <w:p>
      <w:pPr>
        <w:pStyle w:val="ListParagraph"/>
        <w:numPr>
          <w:ilvl w:val="0"/>
          <w:numId w:val="2"/>
        </w:numPr>
        <w:spacing w:after="80" w:line="276"/>
      </w:pPr>
      <w:r>
        <w:rPr>
          <w:rFonts w:ascii="Arial" w:cs="Arial" w:eastAsia="Arial" w:hAnsi="Arial"/>
          <w:sz w:val="21"/>
          <w:szCs w:val="21"/>
        </w:rPr>
        <w:t xml:space="preserve">question — raw user query</w:t>
      </w:r>
    </w:p>
    <w:p>
      <w:pPr>
        <w:pStyle w:val="ListParagraph"/>
        <w:numPr>
          <w:ilvl w:val="0"/>
          <w:numId w:val="2"/>
        </w:numPr>
        <w:spacing w:after="80" w:line="276"/>
      </w:pPr>
      <w:r>
        <w:rPr>
          <w:rFonts w:ascii="Arial" w:cs="Arial" w:eastAsia="Arial" w:hAnsi="Arial"/>
          <w:sz w:val="21"/>
          <w:szCs w:val="21"/>
        </w:rPr>
        <w:t xml:space="preserve">answer — LLM-generated answer text</w:t>
      </w:r>
    </w:p>
    <w:p>
      <w:pPr>
        <w:pStyle w:val="ListParagraph"/>
        <w:numPr>
          <w:ilvl w:val="0"/>
          <w:numId w:val="2"/>
        </w:numPr>
        <w:spacing w:after="80" w:line="276"/>
      </w:pPr>
      <w:r>
        <w:rPr>
          <w:rFonts w:ascii="Arial" w:cs="Arial" w:eastAsia="Arial" w:hAnsi="Arial"/>
          <w:sz w:val="21"/>
          <w:szCs w:val="21"/>
        </w:rPr>
        <w:t xml:space="preserve">retrieved_chunks — list of dicts: chunk_id, text, company_name, fiscal_year, source_type, file_name, page_number, similarity_score</w:t>
      </w:r>
    </w:p>
    <w:p>
      <w:pPr>
        <w:pStyle w:val="ListParagraph"/>
        <w:numPr>
          <w:ilvl w:val="0"/>
          <w:numId w:val="2"/>
        </w:numPr>
        <w:spacing w:after="80" w:line="276"/>
      </w:pPr>
      <w:r>
        <w:rPr>
          <w:rFonts w:ascii="Arial" w:cs="Arial" w:eastAsia="Arial" w:hAnsi="Arial"/>
          <w:sz w:val="21"/>
          <w:szCs w:val="21"/>
        </w:rPr>
        <w:t xml:space="preserve">citations — list of dicts: chunk_id, file_name, page_number, company_name, fiscal_year</w:t>
      </w:r>
    </w:p>
    <w:p>
      <w:pPr>
        <w:pStyle w:val="ListParagraph"/>
        <w:numPr>
          <w:ilvl w:val="0"/>
          <w:numId w:val="2"/>
        </w:numPr>
        <w:spacing w:after="80" w:line="276"/>
      </w:pPr>
      <w:r>
        <w:rPr>
          <w:rFonts w:ascii="Arial" w:cs="Arial" w:eastAsia="Arial" w:hAnsi="Arial"/>
          <w:sz w:val="21"/>
          <w:szCs w:val="21"/>
        </w:rPr>
        <w:t xml:space="preserve">metadata — model_used, retrieval_top_k, pipeline_version, timestamp, total_chunks_in_store, embedding_model</w:t>
      </w:r>
    </w:p>
    <w:p>
      <w:pPr>
        <w:spacing w:after="80" w:before="180"/>
      </w:pPr>
      <w:r>
        <w:rPr>
          <w:rFonts w:ascii="Arial" w:cs="Arial" w:eastAsia="Arial" w:hAnsi="Arial"/>
          <w:b/>
          <w:bCs/>
          <w:color w:val="1F3864"/>
          <w:sz w:val="22"/>
          <w:szCs w:val="22"/>
        </w:rPr>
        <w:t xml:space="preserve">trust_card fields</w:t>
      </w:r>
    </w:p>
    <w:p>
      <w:pPr>
        <w:pStyle w:val="ListParagraph"/>
        <w:numPr>
          <w:ilvl w:val="0"/>
          <w:numId w:val="2"/>
        </w:numPr>
        <w:spacing w:after="80" w:line="276"/>
      </w:pPr>
      <w:r>
        <w:rPr>
          <w:rFonts w:ascii="Arial" w:cs="Arial" w:eastAsia="Arial" w:hAnsi="Arial"/>
          <w:sz w:val="21"/>
          <w:szCs w:val="21"/>
        </w:rPr>
        <w:t xml:space="preserve">confidence_score — int 0–100</w:t>
      </w:r>
    </w:p>
    <w:p>
      <w:pPr>
        <w:pStyle w:val="ListParagraph"/>
        <w:numPr>
          <w:ilvl w:val="0"/>
          <w:numId w:val="2"/>
        </w:numPr>
        <w:spacing w:after="80" w:line="276"/>
      </w:pPr>
      <w:r>
        <w:rPr>
          <w:rFonts w:ascii="Arial" w:cs="Arial" w:eastAsia="Arial" w:hAnsi="Arial"/>
          <w:sz w:val="21"/>
          <w:szCs w:val="21"/>
        </w:rPr>
        <w:t xml:space="preserve">confidence_band — High | Medium | Low</w:t>
      </w:r>
    </w:p>
    <w:p>
      <w:pPr>
        <w:pStyle w:val="ListParagraph"/>
        <w:numPr>
          <w:ilvl w:val="0"/>
          <w:numId w:val="2"/>
        </w:numPr>
        <w:spacing w:after="80" w:line="276"/>
      </w:pPr>
      <w:r>
        <w:rPr>
          <w:rFonts w:ascii="Arial" w:cs="Arial" w:eastAsia="Arial" w:hAnsi="Arial"/>
          <w:sz w:val="21"/>
          <w:szCs w:val="21"/>
        </w:rPr>
        <w:t xml:space="preserve">confidence_breakdown — per-factor dict with score, max, reason</w:t>
      </w:r>
    </w:p>
    <w:p>
      <w:pPr>
        <w:pStyle w:val="ListParagraph"/>
        <w:numPr>
          <w:ilvl w:val="0"/>
          <w:numId w:val="2"/>
        </w:numPr>
        <w:spacing w:after="80" w:line="276"/>
      </w:pPr>
      <w:r>
        <w:rPr>
          <w:rFonts w:ascii="Arial" w:cs="Arial" w:eastAsia="Arial" w:hAnsi="Arial"/>
          <w:sz w:val="21"/>
          <w:szCs w:val="21"/>
        </w:rPr>
        <w:t xml:space="preserve">validation_results — citations, financials, contradictions, forward_looking</w:t>
      </w:r>
    </w:p>
    <w:p>
      <w:pPr>
        <w:pStyle w:val="ListParagraph"/>
        <w:numPr>
          <w:ilvl w:val="0"/>
          <w:numId w:val="2"/>
        </w:numPr>
        <w:spacing w:after="80" w:line="276"/>
      </w:pPr>
      <w:r>
        <w:rPr>
          <w:rFonts w:ascii="Arial" w:cs="Arial" w:eastAsia="Arial" w:hAnsi="Arial"/>
          <w:sz w:val="21"/>
          <w:szCs w:val="21"/>
        </w:rPr>
        <w:t xml:space="preserve">per_claim_validation — sentence-level breakdown with support_rate</w:t>
      </w:r>
    </w:p>
    <w:p>
      <w:pPr>
        <w:pStyle w:val="ListParagraph"/>
        <w:numPr>
          <w:ilvl w:val="0"/>
          <w:numId w:val="2"/>
        </w:numPr>
        <w:spacing w:after="80" w:line="276"/>
      </w:pPr>
      <w:r>
        <w:rPr>
          <w:rFonts w:ascii="Arial" w:cs="Arial" w:eastAsia="Arial" w:hAnsi="Arial"/>
          <w:sz w:val="21"/>
          <w:szCs w:val="21"/>
        </w:rPr>
        <w:t xml:space="preserve">issues — flat list of all human-readable validation warnings</w:t>
      </w:r>
    </w:p>
    <w:p>
      <w:pPr>
        <w:pStyle w:val="ListParagraph"/>
        <w:numPr>
          <w:ilvl w:val="0"/>
          <w:numId w:val="2"/>
        </w:numPr>
        <w:spacing w:after="80" w:line="276"/>
      </w:pPr>
      <w:r>
        <w:rPr>
          <w:rFonts w:ascii="Arial" w:cs="Arial" w:eastAsia="Arial" w:hAnsi="Arial"/>
          <w:sz w:val="21"/>
          <w:szCs w:val="21"/>
        </w:rPr>
        <w:t xml:space="preserve">decision — { action: Approve | Warn | Review, reason }</w:t>
      </w:r>
    </w:p>
    <w:p>
      <w:pPr>
        <w:pStyle w:val="ListParagraph"/>
        <w:numPr>
          <w:ilvl w:val="0"/>
          <w:numId w:val="2"/>
        </w:numPr>
        <w:spacing w:after="80" w:line="276"/>
      </w:pPr>
      <w:r>
        <w:rPr>
          <w:rFonts w:ascii="Arial" w:cs="Arial" w:eastAsia="Arial" w:hAnsi="Arial"/>
          <w:sz w:val="21"/>
          <w:szCs w:val="21"/>
        </w:rPr>
        <w:t xml:space="preserve">rag_output — the original answer_package embedded verbatim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67676"/>
        <w:sz w:val="16"/>
        <w:szCs w:val="16"/>
      </w:rPr>
      <w:t xml:space="preserve">Page </w:t>
    </w:r>
    <w:r>
      <w:rPr>
        <w:rFonts w:ascii="Arial" w:cs="Arial" w:eastAsia="Arial" w:hAnsi="Arial"/>
        <w:color w:val="76767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67676"/>
        <w:sz w:val="16"/>
        <w:szCs w:val="16"/>
      </w:rPr>
      <w:t xml:space="preserve">Trust-Aware Financial Research Assistant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6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96843d883db6d48a2edfd0effa3a4fb9cbbedde.png"/><Relationship Id="rId10" Type="http://schemas.openxmlformats.org/officeDocument/2006/relationships/image" Target="media/c34ef81699c69f3c5c9cf1c6b0a2666ddbffaaf3.png"/><Relationship Id="rId11" Type="http://schemas.openxmlformats.org/officeDocument/2006/relationships/image" Target="media/f3049ec244f9ff1a26647060770f8908fc7be8cb.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2026-06-23T20:49:46.723Z</dcterms:created>
  <dcterms:modified xsi:type="dcterms:W3CDTF">2026-06-23T20:49:46.737Z</dcterms:modified>
</cp:coreProperties>
</file>

<file path=docProps/custom.xml><?xml version="1.0" encoding="utf-8"?>
<Properties xmlns="http://schemas.openxmlformats.org/officeDocument/2006/custom-properties" xmlns:vt="http://schemas.openxmlformats.org/officeDocument/2006/docPropsVTypes"/>
</file>