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061D13"/>
          <w:sz w:val="72"/>
          <w:szCs w:val="72"/>
        </w:rPr>
        <w:t xml:space="preserve">KFPL</w:t>
      </w:r>
    </w:p>
    <w:p>
      <w:pPr>
        <w:spacing w:after="100"/>
        <w:jc w:val="center"/>
      </w:pPr>
      <w:r>
        <w:rPr>
          <w:b/>
          <w:bCs/>
          <w:color w:val="059669"/>
          <w:sz w:val="40"/>
          <w:szCs w:val="40"/>
        </w:rPr>
        <w:t xml:space="preserve">Super Admin Portal</w:t>
      </w:r>
    </w:p>
    <w:p>
      <w:pPr>
        <w:spacing w:after="600" w:before="100"/>
        <w:jc w:val="center"/>
      </w:pPr>
      <w:r>
        <w:rPr>
          <w:color w:val="6D7E75"/>
          <w:sz w:val="28"/>
          <w:szCs w:val="28"/>
        </w:rPr>
        <w:t xml:space="preserve">Change Request — PRD + TRD (Frontend)</w:t>
      </w:r>
    </w:p>
    <w:p>
      <w:pPr>
        <w:pBdr>
          <w:top w:val="single" w:color="10B981" w:sz="6" w:space="8"/>
        </w:pBdr>
        <w:spacing w:before="1200"/>
        <w:jc w:val="center"/>
      </w:pPr>
      <w:r>
        <w:rPr>
          <w:i/>
          <w:iCs/>
          <w:color w:val="11221A"/>
          <w:sz w:val="22"/>
          <w:szCs w:val="22"/>
        </w:rPr>
        <w:t xml:space="preserve">Scope: 11 client-requested change items applicable to the Super Admin frontend</w:t>
      </w:r>
    </w:p>
    <w:p>
      <w:pPr>
        <w:spacing w:before="800"/>
        <w:jc w:val="center"/>
      </w:pPr>
      <w:r>
        <w:rPr>
          <w:color w:val="6D7E75"/>
          <w:sz w:val="20"/>
          <w:szCs w:val="20"/>
        </w:rPr>
        <w:t xml:space="preserve">Stack: React · Tailwind CSS · Custom CSS</w:t>
      </w:r>
    </w:p>
    <w:p>
      <w:pPr>
        <w:spacing w:before="100"/>
        <w:jc w:val="center"/>
      </w:pPr>
      <w:r>
        <w:rPr>
          <w:color w:val="6D7E75"/>
          <w:sz w:val="20"/>
          <w:szCs w:val="20"/>
        </w:rPr>
        <w:t xml:space="preserve">Theme: Deep Forest Green (#061D13) · Vibrant Emerald (#10B981)</w:t>
      </w:r>
    </w:p>
    <w:p>
      <w:pPr>
        <w:spacing w:before="1600"/>
        <w:jc w:val="center"/>
      </w:pPr>
      <w:r>
        <w:rPr>
          <w:color w:val="6D7E75"/>
          <w:sz w:val="20"/>
          <w:szCs w:val="20"/>
        </w:rPr>
        <w:t xml:space="preserve">Prepared for: Milind</w:t>
      </w:r>
    </w:p>
    <w:p>
      <w:pPr>
        <w:jc w:val="center"/>
      </w:pPr>
      <w:r>
        <w:rPr>
          <w:color w:val="6D7E75"/>
          <w:sz w:val="20"/>
          <w:szCs w:val="20"/>
        </w:rPr>
        <w:t xml:space="preserve">Document Version 1.0</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 &amp; Scope</w:t>
      </w:r>
    </w:p>
    <w:p>
      <w:pPr>
        <w:spacing w:after="120"/>
      </w:pPr>
      <w:r>
        <w:t xml:space="preserve">This document defines the Product Requirements (PRD) and Technical Requirements (TRD) for changes requested by the client, restricted strictly to the Super Admin portal of the KFPL platform. Items relating purely to the Agent Portal or Client Portal are intentionally excluded — they are covered in separate documents.</w:t>
      </w:r>
    </w:p>
    <w:p>
      <w:pPr>
        <w:spacing w:after="120"/>
      </w:pPr>
      <w:r>
        <w:t xml:space="preserve">Each change item below is mapped to its original point number from the client's request, followed by detailed functional requirements, business rules, acceptance criteria, and the corresponding frontend technical approach.</w:t>
      </w:r>
    </w:p>
    <w:p>
      <w:pPr>
        <w:pStyle w:val="Heading1"/>
      </w:pPr>
      <w:r>
        <w:t xml:space="preserve">2.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60"/>
        <w:gridCol w:w="6000"/>
      </w:tblGrid>
      <w:tr>
        <w:tc>
          <w:tcPr>
            <w:tcW w:type="dxa" w:w="1400"/>
            <w:tcBorders>
              <w:top w:val="single" w:color="C9D6CF" w:sz="1"/>
              <w:left w:val="single" w:color="C9D6CF" w:sz="1"/>
              <w:bottom w:val="single" w:color="C9D6CF" w:sz="1"/>
              <w:right w:val="single" w:color="C9D6CF" w:sz="1"/>
            </w:tcBorders>
            <w:shd w:fill="061D13" w:val="clear"/>
            <w:tcMar>
              <w:top w:type="dxa" w:w="80"/>
              <w:left w:type="dxa" w:w="120"/>
              <w:bottom w:type="dxa" w:w="80"/>
              <w:right w:type="dxa" w:w="120"/>
            </w:tcMar>
            <w:vAlign w:val="center"/>
          </w:tcPr>
          <w:p>
            <w:r>
              <w:rPr>
                <w:b/>
                <w:bCs/>
                <w:color w:val="FFFFFF"/>
                <w:sz w:val="20"/>
                <w:szCs w:val="20"/>
              </w:rPr>
              <w:t xml:space="preserve">ID</w:t>
            </w:r>
          </w:p>
        </w:tc>
        <w:tc>
          <w:tcPr>
            <w:tcW w:type="dxa" w:w="1960"/>
            <w:tcBorders>
              <w:top w:val="single" w:color="C9D6CF" w:sz="1"/>
              <w:left w:val="single" w:color="C9D6CF" w:sz="1"/>
              <w:bottom w:val="single" w:color="C9D6CF" w:sz="1"/>
              <w:right w:val="single" w:color="C9D6CF" w:sz="1"/>
            </w:tcBorders>
            <w:shd w:fill="061D13" w:val="clear"/>
            <w:tcMar>
              <w:top w:type="dxa" w:w="80"/>
              <w:left w:type="dxa" w:w="120"/>
              <w:bottom w:type="dxa" w:w="80"/>
              <w:right w:type="dxa" w:w="120"/>
            </w:tcMar>
            <w:vAlign w:val="center"/>
          </w:tcPr>
          <w:p>
            <w:r>
              <w:rPr>
                <w:b/>
                <w:bCs/>
                <w:color w:val="FFFFFF"/>
                <w:sz w:val="20"/>
                <w:szCs w:val="20"/>
              </w:rPr>
              <w:t xml:space="preserve">Client Point</w:t>
            </w:r>
          </w:p>
        </w:tc>
        <w:tc>
          <w:tcPr>
            <w:tcW w:type="dxa" w:w="6000"/>
            <w:tcBorders>
              <w:top w:val="single" w:color="C9D6CF" w:sz="1"/>
              <w:left w:val="single" w:color="C9D6CF" w:sz="1"/>
              <w:bottom w:val="single" w:color="C9D6CF" w:sz="1"/>
              <w:right w:val="single" w:color="C9D6CF" w:sz="1"/>
            </w:tcBorders>
            <w:shd w:fill="061D13" w:val="clear"/>
            <w:tcMar>
              <w:top w:type="dxa" w:w="80"/>
              <w:left w:type="dxa" w:w="120"/>
              <w:bottom w:type="dxa" w:w="80"/>
              <w:right w:type="dxa" w:w="120"/>
            </w:tcMar>
            <w:vAlign w:val="center"/>
          </w:tcPr>
          <w:p>
            <w:r>
              <w:rPr>
                <w:b/>
                <w:bCs/>
                <w:color w:val="FFFFFF"/>
                <w:sz w:val="20"/>
                <w:szCs w:val="20"/>
              </w:rPr>
              <w:t xml:space="preserve">Change Summary</w:t>
            </w:r>
          </w:p>
        </w:tc>
      </w:tr>
      <w:tr>
        <w:tc>
          <w:tcPr>
            <w:tcW w:type="dxa" w:w="140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CR-01</w:t>
            </w:r>
          </w:p>
        </w:tc>
        <w:tc>
          <w:tcPr>
            <w:tcW w:type="dxa" w:w="196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Point 1</w:t>
            </w:r>
          </w:p>
        </w:tc>
        <w:tc>
          <w:tcPr>
            <w:tcW w:type="dxa" w:w="600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Agent Table — Commission Paid as Amount (not %)</w:t>
            </w:r>
          </w:p>
        </w:tc>
      </w:tr>
      <w:tr>
        <w:tc>
          <w:tcPr>
            <w:tcW w:type="dxa" w:w="140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CR-02</w:t>
            </w:r>
          </w:p>
        </w:tc>
        <w:tc>
          <w:tcPr>
            <w:tcW w:type="dxa" w:w="196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Point 2</w:t>
            </w:r>
          </w:p>
        </w:tc>
        <w:tc>
          <w:tcPr>
            <w:tcW w:type="dxa" w:w="600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Clickable Client Count → Agent's Client List</w:t>
            </w:r>
          </w:p>
        </w:tc>
      </w:tr>
      <w:tr>
        <w:tc>
          <w:tcPr>
            <w:tcW w:type="dxa" w:w="140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CR-03</w:t>
            </w:r>
          </w:p>
        </w:tc>
        <w:tc>
          <w:tcPr>
            <w:tcW w:type="dxa" w:w="196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Point 3 (backend configuration portion only)</w:t>
            </w:r>
          </w:p>
        </w:tc>
        <w:tc>
          <w:tcPr>
            <w:tcW w:type="dxa" w:w="600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Commission Slab &amp; Reward Configuration (Admin-Managed)</w:t>
            </w:r>
          </w:p>
        </w:tc>
      </w:tr>
      <w:tr>
        <w:tc>
          <w:tcPr>
            <w:tcW w:type="dxa" w:w="140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CR-04</w:t>
            </w:r>
          </w:p>
        </w:tc>
        <w:tc>
          <w:tcPr>
            <w:tcW w:type="dxa" w:w="196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Point 4</w:t>
            </w:r>
          </w:p>
        </w:tc>
        <w:tc>
          <w:tcPr>
            <w:tcW w:type="dxa" w:w="600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Individual Agent Page — Client Table Column Order</w:t>
            </w:r>
          </w:p>
        </w:tc>
      </w:tr>
      <w:tr>
        <w:tc>
          <w:tcPr>
            <w:tcW w:type="dxa" w:w="140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CR-05</w:t>
            </w:r>
          </w:p>
        </w:tc>
        <w:tc>
          <w:tcPr>
            <w:tcW w:type="dxa" w:w="196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Point 7</w:t>
            </w:r>
          </w:p>
        </w:tc>
        <w:tc>
          <w:tcPr>
            <w:tcW w:type="dxa" w:w="600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Client Table — ROI % and Perks Columns</w:t>
            </w:r>
          </w:p>
        </w:tc>
      </w:tr>
      <w:tr>
        <w:tc>
          <w:tcPr>
            <w:tcW w:type="dxa" w:w="140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CR-06</w:t>
            </w:r>
          </w:p>
        </w:tc>
        <w:tc>
          <w:tcPr>
            <w:tcW w:type="dxa" w:w="196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Point 8 (admin-side portion only)</w:t>
            </w:r>
          </w:p>
        </w:tc>
        <w:tc>
          <w:tcPr>
            <w:tcW w:type="dxa" w:w="600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Nominee Field in Admin-Side Profile Forms</w:t>
            </w:r>
          </w:p>
        </w:tc>
      </w:tr>
      <w:tr>
        <w:tc>
          <w:tcPr>
            <w:tcW w:type="dxa" w:w="140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CR-07</w:t>
            </w:r>
          </w:p>
        </w:tc>
        <w:tc>
          <w:tcPr>
            <w:tcW w:type="dxa" w:w="196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Point 9 (receiving end only)</w:t>
            </w:r>
          </w:p>
        </w:tc>
        <w:tc>
          <w:tcPr>
            <w:tcW w:type="dxa" w:w="600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Service Requests — New Section</w:t>
            </w:r>
          </w:p>
        </w:tc>
      </w:tr>
      <w:tr>
        <w:tc>
          <w:tcPr>
            <w:tcW w:type="dxa" w:w="140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CR-08</w:t>
            </w:r>
          </w:p>
        </w:tc>
        <w:tc>
          <w:tcPr>
            <w:tcW w:type="dxa" w:w="196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Point 10</w:t>
            </w:r>
          </w:p>
        </w:tc>
        <w:tc>
          <w:tcPr>
            <w:tcW w:type="dxa" w:w="600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“Non Agent Client” Label</w:t>
            </w:r>
          </w:p>
        </w:tc>
      </w:tr>
      <w:tr>
        <w:tc>
          <w:tcPr>
            <w:tcW w:type="dxa" w:w="140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CR-09</w:t>
            </w:r>
          </w:p>
        </w:tc>
        <w:tc>
          <w:tcPr>
            <w:tcW w:type="dxa" w:w="196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Point 11 (display portion only)</w:t>
            </w:r>
          </w:p>
        </w:tc>
        <w:tc>
          <w:tcPr>
            <w:tcW w:type="dxa" w:w="600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Risk Profile Column (Display Only)</w:t>
            </w:r>
          </w:p>
        </w:tc>
      </w:tr>
      <w:tr>
        <w:tc>
          <w:tcPr>
            <w:tcW w:type="dxa" w:w="140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CR-10</w:t>
            </w:r>
          </w:p>
        </w:tc>
        <w:tc>
          <w:tcPr>
            <w:tcW w:type="dxa" w:w="196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Point 12</w:t>
            </w:r>
          </w:p>
        </w:tc>
        <w:tc>
          <w:tcPr>
            <w:tcW w:type="dxa" w:w="600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Manage Investment — Multi-Segment Assignment + Date of Joining</w:t>
            </w:r>
          </w:p>
        </w:tc>
      </w:tr>
      <w:tr>
        <w:tc>
          <w:tcPr>
            <w:tcW w:type="dxa" w:w="140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CR-11</w:t>
            </w:r>
          </w:p>
        </w:tc>
        <w:tc>
          <w:tcPr>
            <w:tcW w:type="dxa" w:w="196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Point 13</w:t>
            </w:r>
          </w:p>
        </w:tc>
        <w:tc>
          <w:tcPr>
            <w:tcW w:type="dxa" w:w="600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Return on Investment — Client/Agent Dropdown + New Fields</w:t>
            </w:r>
          </w:p>
        </w:tc>
      </w:tr>
    </w:tbl>
    <w:p>
      <w:r>
        <w:br w:type="page"/>
      </w:r>
    </w:p>
    <w:p>
      <w:pPr>
        <w:pStyle w:val="Heading1"/>
      </w:pPr>
      <w:r>
        <w:t xml:space="preserve">3. Detailed Change Requests</w:t>
      </w:r>
    </w:p>
    <w:p>
      <w:pPr>
        <w:pStyle w:val="Heading2"/>
      </w:pPr>
      <w:r>
        <w:t xml:space="preserve">CR-01 — Agent Table — Commission Paid as Amount (not %)</w:t>
      </w:r>
    </w:p>
    <w:p>
      <w:pPr>
        <w:shd w:fill="ECFDF5" w:val="clear"/>
        <w:spacing w:after="100"/>
      </w:pPr>
      <w:r>
        <w:rPr>
          <w:b/>
          <w:bCs/>
          <w:color w:val="059669"/>
          <w:sz w:val="20"/>
          <w:szCs w:val="20"/>
        </w:rPr>
        <w:t xml:space="preserve">  Client Point Reference: Point 1  </w:t>
      </w:r>
    </w:p>
    <w:p>
      <w:pPr>
        <w:pStyle w:val="Heading3"/>
      </w:pPr>
      <w:r>
        <w:t xml:space="preserve">PRD — Product Requirement</w:t>
      </w:r>
    </w:p>
    <w:p>
      <w:pPr>
        <w:pStyle w:val="ListParagraph"/>
        <w:numPr>
          <w:ilvl w:val="0"/>
          <w:numId w:val="2"/>
        </w:numPr>
        <w:spacing w:after="60"/>
      </w:pPr>
      <w:r>
        <w:rPr>
          <w:b/>
          <w:bCs/>
        </w:rPr>
        <w:t xml:space="preserve">User Story: </w:t>
      </w:r>
      <w:r>
        <w:t xml:space="preserve">As a Super Admin, I want to see the actual commission paid amount instead of a percentage, so I can track real payouts accurately.</w:t>
      </w:r>
    </w:p>
    <w:p>
      <w:pPr>
        <w:spacing w:after="120"/>
      </w:pPr>
      <w:r>
        <w:rPr>
          <w:b/>
          <w:bCs/>
        </w:rPr>
        <w:t xml:space="preserve">Functional Requirements:</w:t>
      </w:r>
    </w:p>
    <w:p>
      <w:pPr>
        <w:pStyle w:val="ListParagraph"/>
        <w:numPr>
          <w:ilvl w:val="0"/>
          <w:numId w:val="2"/>
        </w:numPr>
        <w:spacing w:after="60"/>
      </w:pPr>
      <w:r>
        <w:t xml:space="preserve">The “Commission Paid” column in the Agent Management table must display the rupee (₹) value instead of a percentage.</w:t>
      </w:r>
    </w:p>
    <w:p>
      <w:pPr>
        <w:spacing w:after="120"/>
      </w:pPr>
      <w:r>
        <w:rPr>
          <w:b/>
          <w:bCs/>
        </w:rPr>
        <w:t xml:space="preserve">Business Rules:</w:t>
      </w:r>
    </w:p>
    <w:p>
      <w:pPr>
        <w:pStyle w:val="ListParagraph"/>
        <w:numPr>
          <w:ilvl w:val="0"/>
          <w:numId w:val="2"/>
        </w:numPr>
        <w:spacing w:after="60"/>
      </w:pPr>
      <w:r>
        <w:t xml:space="preserve">Displayed value = sum of (one-time + monthly + special) commission paid to that agent till date.</w:t>
      </w:r>
    </w:p>
    <w:p>
      <w:pPr>
        <w:spacing w:after="120"/>
      </w:pPr>
      <w:r>
        <w:rPr>
          <w:b/>
          <w:bCs/>
        </w:rPr>
        <w:t xml:space="preserve">Acceptance Criteria:</w:t>
      </w:r>
    </w:p>
    <w:p>
      <w:pPr>
        <w:pStyle w:val="ListParagraph"/>
        <w:numPr>
          <w:ilvl w:val="0"/>
          <w:numId w:val="2"/>
        </w:numPr>
        <w:spacing w:after="60"/>
      </w:pPr>
      <w:r>
        <w:t xml:space="preserve">Format: ₹1,24,500 using Indian numbering with comma separators.</w:t>
      </w:r>
    </w:p>
    <w:p>
      <w:pPr>
        <w:pStyle w:val="ListParagraph"/>
        <w:numPr>
          <w:ilvl w:val="0"/>
          <w:numId w:val="2"/>
        </w:numPr>
        <w:spacing w:after="60"/>
      </w:pPr>
      <w:r>
        <w:t xml:space="preserve">Column remains sortable, sorting numerically on the rupee value.</w:t>
      </w:r>
    </w:p>
    <w:p>
      <w:pPr>
        <w:pStyle w:val="ListParagraph"/>
        <w:numPr>
          <w:ilvl w:val="0"/>
          <w:numId w:val="2"/>
        </w:numPr>
        <w:spacing w:after="60"/>
      </w:pPr>
      <w:r>
        <w:t xml:space="preserve">Hovering the value can optionally show a breakdown: One-time ₹X + Monthly ₹Y + Special ₹Z.</w:t>
      </w:r>
    </w:p>
    <w:p>
      <w:pPr>
        <w:spacing w:after="120"/>
      </w:pPr>
      <w:r>
        <w:rPr>
          <w:b/>
          <w:bCs/>
        </w:rPr>
        <w:t xml:space="preserve">Edge Cases:</w:t>
      </w:r>
    </w:p>
    <w:p>
      <w:pPr>
        <w:pStyle w:val="ListParagraph"/>
        <w:numPr>
          <w:ilvl w:val="0"/>
          <w:numId w:val="2"/>
        </w:numPr>
        <w:spacing w:after="60"/>
      </w:pPr>
      <w:r>
        <w:t xml:space="preserve">If commission paid is zero, display ₹0, never a blank cell.</w:t>
      </w:r>
    </w:p>
    <w:p>
      <w:pPr>
        <w:pStyle w:val="Heading3"/>
      </w:pPr>
      <w:r>
        <w:t xml:space="preserve">TRD — Technical Requirement (Frontend)</w:t>
      </w:r>
    </w:p>
    <w:p>
      <w:pPr>
        <w:spacing w:after="120"/>
      </w:pPr>
      <w:r>
        <w:rPr>
          <w:b/>
          <w:bCs/>
        </w:rPr>
        <w:t xml:space="preserve">Component-Level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9D6CF" w:sz="1"/>
              <w:left w:val="single" w:color="C9D6CF" w:sz="1"/>
              <w:bottom w:val="single" w:color="C9D6CF" w:sz="1"/>
              <w:right w:val="single" w:color="C9D6CF" w:sz="1"/>
            </w:tcBorders>
            <w:shd w:fill="061D13" w:val="clear"/>
            <w:tcMar>
              <w:top w:type="dxa" w:w="80"/>
              <w:left w:type="dxa" w:w="120"/>
              <w:bottom w:type="dxa" w:w="80"/>
              <w:right w:type="dxa" w:w="120"/>
            </w:tcMar>
            <w:vAlign w:val="center"/>
          </w:tcPr>
          <w:p>
            <w:r>
              <w:rPr>
                <w:b/>
                <w:bCs/>
                <w:color w:val="FFFFFF"/>
                <w:sz w:val="20"/>
                <w:szCs w:val="20"/>
              </w:rPr>
              <w:t xml:space="preserve">Component</w:t>
            </w:r>
          </w:p>
        </w:tc>
        <w:tc>
          <w:tcPr>
            <w:tcW w:type="dxa" w:w="6160"/>
            <w:tcBorders>
              <w:top w:val="single" w:color="C9D6CF" w:sz="1"/>
              <w:left w:val="single" w:color="C9D6CF" w:sz="1"/>
              <w:bottom w:val="single" w:color="C9D6CF" w:sz="1"/>
              <w:right w:val="single" w:color="C9D6CF" w:sz="1"/>
            </w:tcBorders>
            <w:shd w:fill="061D13" w:val="clear"/>
            <w:tcMar>
              <w:top w:type="dxa" w:w="80"/>
              <w:left w:type="dxa" w:w="120"/>
              <w:bottom w:type="dxa" w:w="80"/>
              <w:right w:type="dxa" w:w="120"/>
            </w:tcMar>
            <w:vAlign w:val="center"/>
          </w:tcPr>
          <w:p>
            <w:r>
              <w:rPr>
                <w:b/>
                <w:bCs/>
                <w:color w:val="FFFFFF"/>
                <w:sz w:val="20"/>
                <w:szCs w:val="20"/>
              </w:rPr>
              <w:t xml:space="preserve">Change</w:t>
            </w:r>
          </w:p>
        </w:tc>
      </w:tr>
      <w:tr>
        <w:tc>
          <w:tcPr>
            <w:tcW w:type="dxa" w:w="320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AgentTable.jsx</w:t>
            </w:r>
          </w:p>
        </w:tc>
        <w:tc>
          <w:tcPr>
            <w:tcW w:type="dxa" w:w="616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Update column definition to render via formatCurrency() instead of formatPercent()</w:t>
            </w:r>
          </w:p>
        </w:tc>
      </w:tr>
      <w:tr>
        <w:tc>
          <w:tcPr>
            <w:tcW w:type="dxa" w:w="320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formatCurrency.js</w:t>
            </w:r>
          </w:p>
        </w:tc>
        <w:tc>
          <w:tcPr>
            <w:tcW w:type="dxa" w:w="616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Shared utility, reused across Agent and Client tables</w:t>
            </w:r>
          </w:p>
        </w:tc>
      </w:tr>
    </w:tbl>
    <w:p>
      <w:pPr>
        <w:spacing w:after="120"/>
      </w:pPr>
      <w:r>
        <w:t xml:space="preserve"/>
      </w:r>
    </w:p>
    <w:p>
      <w:pPr>
        <w:spacing w:after="120"/>
      </w:pPr>
      <w:r>
        <w:rPr>
          <w:b/>
          <w:bCs/>
        </w:rPr>
        <w:t xml:space="preserve">State / Data Notes:</w:t>
      </w:r>
    </w:p>
    <w:p>
      <w:pPr>
        <w:pStyle w:val="ListParagraph"/>
        <w:numPr>
          <w:ilvl w:val="0"/>
          <w:numId w:val="2"/>
        </w:numPr>
        <w:spacing w:after="60"/>
      </w:pPr>
      <w:r>
        <w:t xml:space="preserve">API field expected: commissionPaidTotal (number) — confirm unit (rupees vs. paise) with backend.</w:t>
      </w:r>
    </w:p>
    <w:p>
      <w:pPr>
        <w:spacing w:after="120"/>
      </w:pPr>
      <w:r>
        <w:rPr>
          <w:b/>
          <w:bCs/>
        </w:rPr>
        <w:t xml:space="preserve">UI/UX Notes:</w:t>
      </w:r>
    </w:p>
    <w:p>
      <w:pPr>
        <w:pStyle w:val="ListParagraph"/>
        <w:numPr>
          <w:ilvl w:val="0"/>
          <w:numId w:val="2"/>
        </w:numPr>
        <w:spacing w:after="60"/>
      </w:pPr>
      <w:r>
        <w:t xml:space="preserve">Right-align numeric column; use tabular-nums / Consolas for clean digit alignment.</w:t>
      </w:r>
    </w:p>
    <w:p>
      <w:pPr>
        <w:pStyle w:val="ListParagraph"/>
        <w:numPr>
          <w:ilvl w:val="0"/>
          <w:numId w:val="2"/>
        </w:numPr>
        <w:spacing w:after="60"/>
      </w:pPr>
      <w:r>
        <w:t xml:space="preserve">Text color: --color-text-primary (#11221A).</w:t>
      </w:r>
    </w:p>
    <w:p>
      <w:pPr>
        <w:pBdr>
          <w:bottom w:val="single" w:color="10B981" w:sz="6" w:space="1"/>
        </w:pBdr>
        <w:spacing w:after="200" w:before="200"/>
      </w:pPr>
    </w:p>
    <w:p>
      <w:pPr>
        <w:pStyle w:val="Heading2"/>
      </w:pPr>
      <w:r>
        <w:t xml:space="preserve">CR-02 — Clickable Client Count → Agent's Client List</w:t>
      </w:r>
    </w:p>
    <w:p>
      <w:pPr>
        <w:shd w:fill="ECFDF5" w:val="clear"/>
        <w:spacing w:after="100"/>
      </w:pPr>
      <w:r>
        <w:rPr>
          <w:b/>
          <w:bCs/>
          <w:color w:val="059669"/>
          <w:sz w:val="20"/>
          <w:szCs w:val="20"/>
        </w:rPr>
        <w:t xml:space="preserve">  Client Point Reference: Point 2  </w:t>
      </w:r>
    </w:p>
    <w:p>
      <w:pPr>
        <w:pStyle w:val="Heading3"/>
      </w:pPr>
      <w:r>
        <w:t xml:space="preserve">PRD — Product Requirement</w:t>
      </w:r>
    </w:p>
    <w:p>
      <w:pPr>
        <w:pStyle w:val="ListParagraph"/>
        <w:numPr>
          <w:ilvl w:val="0"/>
          <w:numId w:val="2"/>
        </w:numPr>
        <w:spacing w:after="60"/>
      </w:pPr>
      <w:r>
        <w:rPr>
          <w:b/>
          <w:bCs/>
        </w:rPr>
        <w:t xml:space="preserve">User Story: </w:t>
      </w:r>
      <w:r>
        <w:t xml:space="preserve">As a Super Admin, clicking an agent's client count should take me directly to that agent's client list.</w:t>
      </w:r>
    </w:p>
    <w:p>
      <w:pPr>
        <w:spacing w:after="120"/>
      </w:pPr>
      <w:r>
        <w:rPr>
          <w:b/>
          <w:bCs/>
        </w:rPr>
        <w:t xml:space="preserve">Acceptance Criteria:</w:t>
      </w:r>
    </w:p>
    <w:p>
      <w:pPr>
        <w:pStyle w:val="ListParagraph"/>
        <w:numPr>
          <w:ilvl w:val="0"/>
          <w:numId w:val="2"/>
        </w:numPr>
        <w:spacing w:after="60"/>
      </w:pPr>
      <w:r>
        <w:t xml:space="preserve">The number is rendered as a link/button with a hover underline in --color-gold-dark.</w:t>
      </w:r>
    </w:p>
    <w:p>
      <w:pPr>
        <w:pStyle w:val="ListParagraph"/>
        <w:numPr>
          <w:ilvl w:val="0"/>
          <w:numId w:val="2"/>
        </w:numPr>
        <w:spacing w:after="60"/>
      </w:pPr>
      <w:r>
        <w:t xml:space="preserve">Clicking navigates to a filtered client list scoped to that agentId.</w:t>
      </w:r>
    </w:p>
    <w:p>
      <w:pPr>
        <w:pStyle w:val="ListParagraph"/>
        <w:numPr>
          <w:ilvl w:val="0"/>
          <w:numId w:val="2"/>
        </w:numPr>
        <w:spacing w:after="60"/>
      </w:pPr>
      <w:r>
        <w:t xml:space="preserve">Destination page header reads “Clients of [Agent Name]” with a “Back to Agents” breadcrumb.</w:t>
      </w:r>
    </w:p>
    <w:p>
      <w:pPr>
        <w:spacing w:after="120"/>
      </w:pPr>
      <w:r>
        <w:rPr>
          <w:b/>
          <w:bCs/>
        </w:rPr>
        <w:t xml:space="preserve">Edge Cases:</w:t>
      </w:r>
    </w:p>
    <w:p>
      <w:pPr>
        <w:pStyle w:val="ListParagraph"/>
        <w:numPr>
          <w:ilvl w:val="0"/>
          <w:numId w:val="2"/>
        </w:numPr>
        <w:spacing w:after="60"/>
      </w:pPr>
      <w:r>
        <w:t xml:space="preserve">If an agent has 0 clients, the number is plain text (not clickable, no link styling).</w:t>
      </w:r>
    </w:p>
    <w:p>
      <w:pPr>
        <w:pStyle w:val="Heading3"/>
      </w:pPr>
      <w:r>
        <w:t xml:space="preserve">TRD — Technical Requirement (Frontend)</w:t>
      </w:r>
    </w:p>
    <w:p>
      <w:pPr>
        <w:spacing w:after="120"/>
      </w:pPr>
      <w:r>
        <w:rPr>
          <w:b/>
          <w:bCs/>
        </w:rPr>
        <w:t xml:space="preserve">Component-Level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9D6CF" w:sz="1"/>
              <w:left w:val="single" w:color="C9D6CF" w:sz="1"/>
              <w:bottom w:val="single" w:color="C9D6CF" w:sz="1"/>
              <w:right w:val="single" w:color="C9D6CF" w:sz="1"/>
            </w:tcBorders>
            <w:shd w:fill="061D13" w:val="clear"/>
            <w:tcMar>
              <w:top w:type="dxa" w:w="80"/>
              <w:left w:type="dxa" w:w="120"/>
              <w:bottom w:type="dxa" w:w="80"/>
              <w:right w:type="dxa" w:w="120"/>
            </w:tcMar>
            <w:vAlign w:val="center"/>
          </w:tcPr>
          <w:p>
            <w:r>
              <w:rPr>
                <w:b/>
                <w:bCs/>
                <w:color w:val="FFFFFF"/>
                <w:sz w:val="20"/>
                <w:szCs w:val="20"/>
              </w:rPr>
              <w:t xml:space="preserve">Component</w:t>
            </w:r>
          </w:p>
        </w:tc>
        <w:tc>
          <w:tcPr>
            <w:tcW w:type="dxa" w:w="6160"/>
            <w:tcBorders>
              <w:top w:val="single" w:color="C9D6CF" w:sz="1"/>
              <w:left w:val="single" w:color="C9D6CF" w:sz="1"/>
              <w:bottom w:val="single" w:color="C9D6CF" w:sz="1"/>
              <w:right w:val="single" w:color="C9D6CF" w:sz="1"/>
            </w:tcBorders>
            <w:shd w:fill="061D13" w:val="clear"/>
            <w:tcMar>
              <w:top w:type="dxa" w:w="80"/>
              <w:left w:type="dxa" w:w="120"/>
              <w:bottom w:type="dxa" w:w="80"/>
              <w:right w:type="dxa" w:w="120"/>
            </w:tcMar>
            <w:vAlign w:val="center"/>
          </w:tcPr>
          <w:p>
            <w:r>
              <w:rPr>
                <w:b/>
                <w:bCs/>
                <w:color w:val="FFFFFF"/>
                <w:sz w:val="20"/>
                <w:szCs w:val="20"/>
              </w:rPr>
              <w:t xml:space="preserve">Change</w:t>
            </w:r>
          </w:p>
        </w:tc>
      </w:tr>
      <w:tr>
        <w:tc>
          <w:tcPr>
            <w:tcW w:type="dxa" w:w="320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AgentTable.jsx</w:t>
            </w:r>
          </w:p>
        </w:tc>
        <w:tc>
          <w:tcPr>
            <w:tcW w:type="dxa" w:w="616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Wrap client-count cell in a &lt;button&gt; element with onClick navigation</w:t>
            </w:r>
          </w:p>
        </w:tc>
      </w:tr>
      <w:tr>
        <w:tc>
          <w:tcPr>
            <w:tcW w:type="dxa" w:w="320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AgentClientsView.jsx (new)</w:t>
            </w:r>
          </w:p>
        </w:tc>
        <w:tc>
          <w:tcPr>
            <w:tcW w:type="dxa" w:w="616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Reuses ClientTable.jsx pre-filtered by agentId</w:t>
            </w:r>
          </w:p>
        </w:tc>
      </w:tr>
    </w:tbl>
    <w:p>
      <w:pPr>
        <w:spacing w:after="120"/>
      </w:pPr>
      <w:r>
        <w:t xml:space="preserve"/>
      </w:r>
    </w:p>
    <w:p>
      <w:pPr>
        <w:spacing w:after="120"/>
      </w:pPr>
      <w:r>
        <w:rPr>
          <w:b/>
          <w:bCs/>
        </w:rPr>
        <w:t xml:space="preserve">State / Data Notes:</w:t>
      </w:r>
    </w:p>
    <w:p>
      <w:pPr>
        <w:pStyle w:val="ListParagraph"/>
        <w:numPr>
          <w:ilvl w:val="0"/>
          <w:numId w:val="2"/>
        </w:numPr>
        <w:spacing w:after="60"/>
      </w:pPr>
      <w:r>
        <w:t xml:space="preserve">Route: /admin/agents/:agentId/clients</w:t>
      </w:r>
    </w:p>
    <w:p>
      <w:pPr>
        <w:pStyle w:val="ListParagraph"/>
        <w:numPr>
          <w:ilvl w:val="0"/>
          <w:numId w:val="2"/>
        </w:numPr>
        <w:spacing w:after="60"/>
      </w:pPr>
      <w:r>
        <w:t xml:space="preserve">Pass agentId and agentName via React Router state for breadcrumb context.</w:t>
      </w:r>
    </w:p>
    <w:p>
      <w:pPr>
        <w:spacing w:after="120"/>
      </w:pPr>
      <w:r>
        <w:rPr>
          <w:b/>
          <w:bCs/>
        </w:rPr>
        <w:t xml:space="preserve">API Contract (assumed — confirm with backend):</w:t>
      </w:r>
    </w:p>
    <w:p>
      <w:pPr>
        <w:pBdr>
          <w:top w:val="single" w:color="C9D6CF" w:sz="4"/>
          <w:bottom w:val="single" w:color="C9D6CF" w:sz="4"/>
        </w:pBdr>
        <w:shd w:fill="F3F7F5" w:val="clear"/>
        <w:spacing w:after="160" w:before="80"/>
      </w:pPr>
      <w:r>
        <w:rPr>
          <w:rFonts w:ascii="Consolas" w:cs="Consolas" w:eastAsia="Consolas" w:hAnsi="Consolas"/>
          <w:color w:val="1F3B2C"/>
          <w:sz w:val="18"/>
          <w:szCs w:val="18"/>
        </w:rPr>
        <w:t xml:space="preserve">GET /api/admin/clients?agentId={id}</w:t>
      </w:r>
      <w:r>
        <w:br/>
        <w:t xml:space="preserve"/>
      </w:r>
      <w:r>
        <w:rPr>
          <w:rFonts w:ascii="Consolas" w:cs="Consolas" w:eastAsia="Consolas" w:hAnsi="Consolas"/>
          <w:color w:val="1F3B2C"/>
          <w:sz w:val="18"/>
          <w:szCs w:val="18"/>
        </w:rPr>
        <w:t xml:space="preserve">Response: paginated array of client objects</w:t>
      </w:r>
    </w:p>
    <w:p>
      <w:pPr>
        <w:spacing w:after="120"/>
      </w:pPr>
      <w:r>
        <w:rPr>
          <w:b/>
          <w:bCs/>
        </w:rPr>
        <w:t xml:space="preserve">UI/UX Notes:</w:t>
      </w:r>
    </w:p>
    <w:p>
      <w:pPr>
        <w:pStyle w:val="ListParagraph"/>
        <w:numPr>
          <w:ilvl w:val="0"/>
          <w:numId w:val="2"/>
        </w:numPr>
        <w:spacing w:after="60"/>
      </w:pPr>
      <w:r>
        <w:t xml:space="preserve">Use a real &lt;button&gt; (not a clickable &lt;div&gt;) for keyboard and screen-reader accessibility.</w:t>
      </w:r>
    </w:p>
    <w:p>
      <w:pPr>
        <w:pBdr>
          <w:bottom w:val="single" w:color="10B981" w:sz="6" w:space="1"/>
        </w:pBdr>
        <w:spacing w:after="200" w:before="200"/>
      </w:pPr>
    </w:p>
    <w:p>
      <w:pPr>
        <w:pStyle w:val="Heading2"/>
      </w:pPr>
      <w:r>
        <w:t xml:space="preserve">CR-03 — Commission Slab &amp; Reward Configuration (Admin-Managed)</w:t>
      </w:r>
    </w:p>
    <w:p>
      <w:pPr>
        <w:shd w:fill="ECFDF5" w:val="clear"/>
        <w:spacing w:after="100"/>
      </w:pPr>
      <w:r>
        <w:rPr>
          <w:b/>
          <w:bCs/>
          <w:color w:val="059669"/>
          <w:sz w:val="20"/>
          <w:szCs w:val="20"/>
        </w:rPr>
        <w:t xml:space="preserve">  Client Point Reference: Point 3 (backend configuration portion only)  </w:t>
      </w:r>
    </w:p>
    <w:p>
      <w:pPr>
        <w:pStyle w:val="Heading3"/>
      </w:pPr>
      <w:r>
        <w:t xml:space="preserve">PRD — Product Requirement</w:t>
      </w:r>
    </w:p>
    <w:p>
      <w:pPr>
        <w:pStyle w:val="ListParagraph"/>
        <w:numPr>
          <w:ilvl w:val="0"/>
          <w:numId w:val="2"/>
        </w:numPr>
        <w:spacing w:after="60"/>
      </w:pPr>
      <w:r>
        <w:rPr>
          <w:b/>
          <w:bCs/>
        </w:rPr>
        <w:t xml:space="preserve">User Story: </w:t>
      </w:r>
      <w:r>
        <w:t xml:space="preserve">As a Super Admin, I need to configure commission slabs and rewards once, so the system can auto-calculate agent commissions without manual entry every time.</w:t>
      </w:r>
    </w:p>
    <w:p>
      <w:pPr>
        <w:spacing w:after="120"/>
      </w:pPr>
      <w:r>
        <w:rPr>
          <w:b/>
          <w:bCs/>
        </w:rPr>
        <w:t xml:space="preserve">Functional Requirements:</w:t>
      </w:r>
    </w:p>
    <w:p>
      <w:pPr>
        <w:pStyle w:val="ListParagraph"/>
        <w:numPr>
          <w:ilvl w:val="0"/>
          <w:numId w:val="2"/>
        </w:numPr>
        <w:spacing w:after="60"/>
      </w:pPr>
      <w:r>
        <w:t xml:space="preserve">Slab Configuration screen — defines investment-range-to-percentage mapping for One-Time commission and for Monthly recurring commission.</w:t>
      </w:r>
    </w:p>
    <w:p>
      <w:pPr>
        <w:pStyle w:val="ListParagraph"/>
        <w:numPr>
          <w:ilvl w:val="0"/>
          <w:numId w:val="2"/>
        </w:numPr>
        <w:spacing w:after="60"/>
      </w:pPr>
      <w:r>
        <w:t xml:space="preserve">Special Commission Override — a per-agent manual entry field (not slab-based), with a mandatory reason/note field.</w:t>
      </w:r>
    </w:p>
    <w:p>
      <w:pPr>
        <w:pStyle w:val="ListParagraph"/>
        <w:numPr>
          <w:ilvl w:val="0"/>
          <w:numId w:val="2"/>
        </w:numPr>
        <w:spacing w:after="60"/>
      </w:pPr>
      <w:r>
        <w:t xml:space="preserve">Reward Management — define the reward catalog: target description, target value (e.g. “10 clients” or “₹50L total business”), reward description, and Active/Inactive status.</w:t>
      </w:r>
    </w:p>
    <w:p>
      <w:pPr>
        <w:spacing w:after="120"/>
      </w:pPr>
      <w:r>
        <w:rPr>
          <w:b/>
          <w:bCs/>
        </w:rPr>
        <w:t xml:space="preserve">Business Rules:</w:t>
      </w:r>
    </w:p>
    <w:p>
      <w:pPr>
        <w:pStyle w:val="ListParagraph"/>
        <w:numPr>
          <w:ilvl w:val="0"/>
          <w:numId w:val="2"/>
        </w:numPr>
        <w:spacing w:after="60"/>
      </w:pPr>
      <w:r>
        <w:t xml:space="preserve">Slabs must be non-overlapping ranges (e.g. ₹0–5L, ₹5L–10L, ₹10L+).</w:t>
      </w:r>
    </w:p>
    <w:p>
      <w:pPr>
        <w:pStyle w:val="ListParagraph"/>
        <w:numPr>
          <w:ilvl w:val="0"/>
          <w:numId w:val="2"/>
        </w:numPr>
        <w:spacing w:after="60"/>
      </w:pPr>
      <w:r>
        <w:t xml:space="preserve">Special commission is additive on top of slab-calculated commission, not a replacement for it.</w:t>
      </w:r>
    </w:p>
    <w:p>
      <w:pPr>
        <w:pStyle w:val="ListParagraph"/>
        <w:numPr>
          <w:ilvl w:val="0"/>
          <w:numId w:val="2"/>
        </w:numPr>
        <w:spacing w:after="60"/>
      </w:pPr>
      <w:r>
        <w:t xml:space="preserve">A reward becomes unlockable only once its target condition is met; the calculation engine itself is a backend responsibility — Super Admin only defines the rule.</w:t>
      </w:r>
    </w:p>
    <w:p>
      <w:pPr>
        <w:spacing w:after="120"/>
      </w:pPr>
      <w:r>
        <w:rPr>
          <w:b/>
          <w:bCs/>
        </w:rPr>
        <w:t xml:space="preserve">Acceptance Criteria:</w:t>
      </w:r>
    </w:p>
    <w:p>
      <w:pPr>
        <w:pStyle w:val="ListParagraph"/>
        <w:numPr>
          <w:ilvl w:val="0"/>
          <w:numId w:val="2"/>
        </w:numPr>
        <w:spacing w:after="60"/>
      </w:pPr>
      <w:r>
        <w:t xml:space="preserve">Admin can Add / Edit / Delete slab rows.</w:t>
      </w:r>
    </w:p>
    <w:p>
      <w:pPr>
        <w:pStyle w:val="ListParagraph"/>
        <w:numPr>
          <w:ilvl w:val="0"/>
          <w:numId w:val="2"/>
        </w:numPr>
        <w:spacing w:after="60"/>
      </w:pPr>
      <w:r>
        <w:t xml:space="preserve">Admin can Add / Edit / Deactivate rewards.</w:t>
      </w:r>
    </w:p>
    <w:p>
      <w:pPr>
        <w:pStyle w:val="ListParagraph"/>
        <w:numPr>
          <w:ilvl w:val="0"/>
          <w:numId w:val="2"/>
        </w:numPr>
        <w:spacing w:after="60"/>
      </w:pPr>
      <w:r>
        <w:t xml:space="preserve">Changing a slab does not retroactively recalculate already-paid commissions unless explicitly confirmed otherwise by the client.</w:t>
      </w:r>
    </w:p>
    <w:p>
      <w:pPr>
        <w:spacing w:after="120"/>
      </w:pPr>
      <w:r>
        <w:rPr>
          <w:b/>
          <w:bCs/>
        </w:rPr>
        <w:t xml:space="preserve">Edge Cases:</w:t>
      </w:r>
    </w:p>
    <w:p>
      <w:pPr>
        <w:pStyle w:val="ListParagraph"/>
        <w:numPr>
          <w:ilvl w:val="0"/>
          <w:numId w:val="2"/>
        </w:numPr>
        <w:spacing w:after="60"/>
      </w:pPr>
      <w:r>
        <w:t xml:space="preserve">Overlapping slab ranges must show an inline validation error before save is allowed.</w:t>
      </w:r>
    </w:p>
    <w:p>
      <w:pPr>
        <w:pStyle w:val="Heading3"/>
      </w:pPr>
      <w:r>
        <w:t xml:space="preserve">TRD — Technical Requirement (Frontend)</w:t>
      </w:r>
    </w:p>
    <w:p>
      <w:pPr>
        <w:spacing w:after="120"/>
      </w:pPr>
      <w:r>
        <w:rPr>
          <w:b/>
          <w:bCs/>
        </w:rPr>
        <w:t xml:space="preserve">Component-Level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9D6CF" w:sz="1"/>
              <w:left w:val="single" w:color="C9D6CF" w:sz="1"/>
              <w:bottom w:val="single" w:color="C9D6CF" w:sz="1"/>
              <w:right w:val="single" w:color="C9D6CF" w:sz="1"/>
            </w:tcBorders>
            <w:shd w:fill="061D13" w:val="clear"/>
            <w:tcMar>
              <w:top w:type="dxa" w:w="80"/>
              <w:left w:type="dxa" w:w="120"/>
              <w:bottom w:type="dxa" w:w="80"/>
              <w:right w:type="dxa" w:w="120"/>
            </w:tcMar>
            <w:vAlign w:val="center"/>
          </w:tcPr>
          <w:p>
            <w:r>
              <w:rPr>
                <w:b/>
                <w:bCs/>
                <w:color w:val="FFFFFF"/>
                <w:sz w:val="20"/>
                <w:szCs w:val="20"/>
              </w:rPr>
              <w:t xml:space="preserve">Component</w:t>
            </w:r>
          </w:p>
        </w:tc>
        <w:tc>
          <w:tcPr>
            <w:tcW w:type="dxa" w:w="6160"/>
            <w:tcBorders>
              <w:top w:val="single" w:color="C9D6CF" w:sz="1"/>
              <w:left w:val="single" w:color="C9D6CF" w:sz="1"/>
              <w:bottom w:val="single" w:color="C9D6CF" w:sz="1"/>
              <w:right w:val="single" w:color="C9D6CF" w:sz="1"/>
            </w:tcBorders>
            <w:shd w:fill="061D13" w:val="clear"/>
            <w:tcMar>
              <w:top w:type="dxa" w:w="80"/>
              <w:left w:type="dxa" w:w="120"/>
              <w:bottom w:type="dxa" w:w="80"/>
              <w:right w:type="dxa" w:w="120"/>
            </w:tcMar>
            <w:vAlign w:val="center"/>
          </w:tcPr>
          <w:p>
            <w:r>
              <w:rPr>
                <w:b/>
                <w:bCs/>
                <w:color w:val="FFFFFF"/>
                <w:sz w:val="20"/>
                <w:szCs w:val="20"/>
              </w:rPr>
              <w:t xml:space="preserve">Change</w:t>
            </w:r>
          </w:p>
        </w:tc>
      </w:tr>
      <w:tr>
        <w:tc>
          <w:tcPr>
            <w:tcW w:type="dxa" w:w="320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CommissionSlabConfig.jsx (new)</w:t>
            </w:r>
          </w:p>
        </w:tc>
        <w:tc>
          <w:tcPr>
            <w:tcW w:type="dxa" w:w="616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Editable table for one-time and monthly slab rows</w:t>
            </w:r>
          </w:p>
        </w:tc>
      </w:tr>
      <w:tr>
        <w:tc>
          <w:tcPr>
            <w:tcW w:type="dxa" w:w="320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RewardConfig.jsx (new)</w:t>
            </w:r>
          </w:p>
        </w:tc>
        <w:tc>
          <w:tcPr>
            <w:tcW w:type="dxa" w:w="616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Editable table for reward catalog</w:t>
            </w:r>
          </w:p>
        </w:tc>
      </w:tr>
      <w:tr>
        <w:tc>
          <w:tcPr>
            <w:tcW w:type="dxa" w:w="320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SlabRow.jsx (new)</w:t>
            </w:r>
          </w:p>
        </w:tc>
        <w:tc>
          <w:tcPr>
            <w:tcW w:type="dxa" w:w="616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Reusable editable table row sub-component</w:t>
            </w:r>
          </w:p>
        </w:tc>
      </w:tr>
    </w:tbl>
    <w:p>
      <w:pPr>
        <w:spacing w:after="120"/>
      </w:pPr>
      <w:r>
        <w:t xml:space="preserve"/>
      </w:r>
    </w:p>
    <w:p>
      <w:pPr>
        <w:spacing w:after="120"/>
      </w:pPr>
      <w:r>
        <w:rPr>
          <w:b/>
          <w:bCs/>
        </w:rPr>
        <w:t xml:space="preserve">State / Data Notes:</w:t>
      </w:r>
    </w:p>
    <w:p>
      <w:pPr>
        <w:pStyle w:val="ListParagraph"/>
        <w:numPr>
          <w:ilvl w:val="0"/>
          <w:numId w:val="2"/>
        </w:numPr>
        <w:spacing w:after="60"/>
      </w:pPr>
      <w:r>
        <w:t xml:space="preserve">Routes: /admin/commission-config and /admin/reward-config.</w:t>
      </w:r>
    </w:p>
    <w:p>
      <w:pPr>
        <w:pStyle w:val="ListParagraph"/>
        <w:numPr>
          <w:ilvl w:val="0"/>
          <w:numId w:val="2"/>
        </w:numPr>
        <w:spacing w:after="60"/>
      </w:pPr>
      <w:r>
        <w:t xml:space="preserve">Dedicated store useCommissionConfigStore (Zustand) so this data can be reused later if the Agent Portal needs read access.</w:t>
      </w:r>
    </w:p>
    <w:p>
      <w:pPr>
        <w:spacing w:after="120"/>
      </w:pPr>
      <w:r>
        <w:rPr>
          <w:b/>
          <w:bCs/>
        </w:rPr>
        <w:t xml:space="preserve">API Contract (assumed — confirm with backend):</w:t>
      </w:r>
    </w:p>
    <w:p>
      <w:pPr>
        <w:pBdr>
          <w:top w:val="single" w:color="C9D6CF" w:sz="4"/>
          <w:bottom w:val="single" w:color="C9D6CF" w:sz="4"/>
        </w:pBdr>
        <w:shd w:fill="F3F7F5" w:val="clear"/>
        <w:spacing w:after="160" w:before="80"/>
      </w:pPr>
      <w:r>
        <w:rPr>
          <w:rFonts w:ascii="Consolas" w:cs="Consolas" w:eastAsia="Consolas" w:hAnsi="Consolas"/>
          <w:color w:val="1F3B2C"/>
          <w:sz w:val="18"/>
          <w:szCs w:val="18"/>
        </w:rPr>
        <w:t xml:space="preserve">GET / POST /api/admin/commission-slabs</w:t>
      </w:r>
      <w:r>
        <w:br/>
        <w:t xml:space="preserve"/>
      </w:r>
      <w:r>
        <w:rPr>
          <w:rFonts w:ascii="Consolas" w:cs="Consolas" w:eastAsia="Consolas" w:hAnsi="Consolas"/>
          <w:color w:val="1F3B2C"/>
          <w:sz w:val="18"/>
          <w:szCs w:val="18"/>
        </w:rPr>
        <w:t xml:space="preserve">Body: { type: 'one-time' | 'monthly', minAmount, maxAmount, percentage }</w:t>
      </w:r>
      <w:r>
        <w:br/>
        <w:t xml:space="preserve"/>
      </w:r>
      <w:r>
        <w:rPr>
          <w:rFonts w:ascii="Consolas" w:cs="Consolas" w:eastAsia="Consolas" w:hAnsi="Consolas"/>
          <w:color w:val="1F3B2C"/>
          <w:sz w:val="18"/>
          <w:szCs w:val="18"/>
        </w:rPr>
        <w:t xml:space="preserve"> </w:t>
      </w:r>
      <w:r>
        <w:br/>
        <w:t xml:space="preserve"/>
      </w:r>
      <w:r>
        <w:rPr>
          <w:rFonts w:ascii="Consolas" w:cs="Consolas" w:eastAsia="Consolas" w:hAnsi="Consolas"/>
          <w:color w:val="1F3B2C"/>
          <w:sz w:val="18"/>
          <w:szCs w:val="18"/>
        </w:rPr>
        <w:t xml:space="preserve">POST /api/admin/agents/:id/special-commission</w:t>
      </w:r>
      <w:r>
        <w:br/>
        <w:t xml:space="preserve"/>
      </w:r>
      <w:r>
        <w:rPr>
          <w:rFonts w:ascii="Consolas" w:cs="Consolas" w:eastAsia="Consolas" w:hAnsi="Consolas"/>
          <w:color w:val="1F3B2C"/>
          <w:sz w:val="18"/>
          <w:szCs w:val="18"/>
        </w:rPr>
        <w:t xml:space="preserve">Body: { amount, reason, addedBy, date }</w:t>
      </w:r>
      <w:r>
        <w:br/>
        <w:t xml:space="preserve"/>
      </w:r>
      <w:r>
        <w:rPr>
          <w:rFonts w:ascii="Consolas" w:cs="Consolas" w:eastAsia="Consolas" w:hAnsi="Consolas"/>
          <w:color w:val="1F3B2C"/>
          <w:sz w:val="18"/>
          <w:szCs w:val="18"/>
        </w:rPr>
        <w:t xml:space="preserve"> </w:t>
      </w:r>
      <w:r>
        <w:br/>
        <w:t xml:space="preserve"/>
      </w:r>
      <w:r>
        <w:rPr>
          <w:rFonts w:ascii="Consolas" w:cs="Consolas" w:eastAsia="Consolas" w:hAnsi="Consolas"/>
          <w:color w:val="1F3B2C"/>
          <w:sz w:val="18"/>
          <w:szCs w:val="18"/>
        </w:rPr>
        <w:t xml:space="preserve">GET / POST /api/admin/rewards</w:t>
      </w:r>
      <w:r>
        <w:br/>
        <w:t xml:space="preserve"/>
      </w:r>
      <w:r>
        <w:rPr>
          <w:rFonts w:ascii="Consolas" w:cs="Consolas" w:eastAsia="Consolas" w:hAnsi="Consolas"/>
          <w:color w:val="1F3B2C"/>
          <w:sz w:val="18"/>
          <w:szCs w:val="18"/>
        </w:rPr>
        <w:t xml:space="preserve">Body: { targetDescription, targetValue, targetType, rewardDescription, isActive }</w:t>
      </w:r>
    </w:p>
    <w:p>
      <w:pPr>
        <w:spacing w:after="120"/>
      </w:pPr>
      <w:r>
        <w:rPr>
          <w:b/>
          <w:bCs/>
        </w:rPr>
        <w:t xml:space="preserve">Validation Rules:</w:t>
      </w:r>
    </w:p>
    <w:p>
      <w:pPr>
        <w:pStyle w:val="ListParagraph"/>
        <w:numPr>
          <w:ilvl w:val="0"/>
          <w:numId w:val="2"/>
        </w:numPr>
        <w:spacing w:after="60"/>
      </w:pPr>
      <w:r>
        <w:t xml:space="preserve">Zod schema enforcing minAmount &lt; maxAmount with no overlapping ranges (client-side pre-check, backend does final validation).</w:t>
      </w:r>
    </w:p>
    <w:p>
      <w:pPr>
        <w:pBdr>
          <w:bottom w:val="single" w:color="10B981" w:sz="6" w:space="1"/>
        </w:pBdr>
        <w:spacing w:after="200" w:before="200"/>
      </w:pPr>
    </w:p>
    <w:p>
      <w:pPr>
        <w:pStyle w:val="Heading2"/>
      </w:pPr>
      <w:r>
        <w:t xml:space="preserve">CR-04 — Individual Agent Page — Client Table Column Order</w:t>
      </w:r>
    </w:p>
    <w:p>
      <w:pPr>
        <w:shd w:fill="ECFDF5" w:val="clear"/>
        <w:spacing w:after="100"/>
      </w:pPr>
      <w:r>
        <w:rPr>
          <w:b/>
          <w:bCs/>
          <w:color w:val="059669"/>
          <w:sz w:val="20"/>
          <w:szCs w:val="20"/>
        </w:rPr>
        <w:t xml:space="preserve">  Client Point Reference: Point 4  </w:t>
      </w:r>
    </w:p>
    <w:p>
      <w:pPr>
        <w:pStyle w:val="Heading3"/>
      </w:pPr>
      <w:r>
        <w:t xml:space="preserve">PRD — Product Requirement</w:t>
      </w:r>
    </w:p>
    <w:p>
      <w:pPr>
        <w:pStyle w:val="ListParagraph"/>
        <w:numPr>
          <w:ilvl w:val="0"/>
          <w:numId w:val="2"/>
        </w:numPr>
        <w:spacing w:after="60"/>
      </w:pPr>
      <w:r>
        <w:rPr>
          <w:b/>
          <w:bCs/>
        </w:rPr>
        <w:t xml:space="preserve">User Story: </w:t>
      </w:r>
      <w:r>
        <w:t xml:space="preserve">As a Super Admin, when I open an agent's detail page, I want a consistent, logical column order in the client list under that agent.</w:t>
      </w:r>
    </w:p>
    <w:p>
      <w:pPr>
        <w:spacing w:after="120"/>
      </w:pPr>
      <w:r>
        <w:rPr>
          <w:b/>
          <w:bCs/>
        </w:rPr>
        <w:t xml:space="preserve">Acceptance Criteria:</w:t>
      </w:r>
    </w:p>
    <w:p>
      <w:pPr>
        <w:pStyle w:val="ListParagraph"/>
        <w:numPr>
          <w:ilvl w:val="0"/>
          <w:numId w:val="2"/>
        </w:numPr>
        <w:spacing w:after="60"/>
      </w:pPr>
      <w:r>
        <w:t xml:space="preserve">Each column supports sorting.</w:t>
      </w:r>
    </w:p>
    <w:p>
      <w:pPr>
        <w:pStyle w:val="ListParagraph"/>
        <w:numPr>
          <w:ilvl w:val="0"/>
          <w:numId w:val="2"/>
        </w:numPr>
        <w:spacing w:after="60"/>
      </w:pPr>
      <w:r>
        <w:t xml:space="preserve">Status is rendered as a colored badge: green = Active, grey = Inactive, red = Closed.</w:t>
      </w:r>
    </w:p>
    <w:p>
      <w:pPr>
        <w:spacing w:after="120"/>
      </w:pPr>
      <w:r>
        <w:rPr>
          <w:b/>
          <w:bCs/>
        </w:rPr>
        <w:t xml:space="preserve">Required Column Order:</w:t>
      </w:r>
    </w:p>
    <w:p>
      <w:pPr>
        <w:pStyle w:val="ListParagraph"/>
        <w:numPr>
          <w:ilvl w:val="0"/>
          <w:numId w:val="3"/>
        </w:numPr>
        <w:spacing w:after="60"/>
      </w:pPr>
      <w:r>
        <w:t xml:space="preserve">Client ID</w:t>
      </w:r>
    </w:p>
    <w:p>
      <w:pPr>
        <w:pStyle w:val="ListParagraph"/>
        <w:numPr>
          <w:ilvl w:val="0"/>
          <w:numId w:val="3"/>
        </w:numPr>
        <w:spacing w:after="60"/>
      </w:pPr>
      <w:r>
        <w:t xml:space="preserve">Date of Joining</w:t>
      </w:r>
    </w:p>
    <w:p>
      <w:pPr>
        <w:pStyle w:val="ListParagraph"/>
        <w:numPr>
          <w:ilvl w:val="0"/>
          <w:numId w:val="3"/>
        </w:numPr>
        <w:spacing w:after="60"/>
      </w:pPr>
      <w:r>
        <w:t xml:space="preserve">Name</w:t>
      </w:r>
    </w:p>
    <w:p>
      <w:pPr>
        <w:pStyle w:val="ListParagraph"/>
        <w:numPr>
          <w:ilvl w:val="0"/>
          <w:numId w:val="3"/>
        </w:numPr>
        <w:spacing w:after="60"/>
      </w:pPr>
      <w:r>
        <w:t xml:space="preserve">Email</w:t>
      </w:r>
    </w:p>
    <w:p>
      <w:pPr>
        <w:pStyle w:val="ListParagraph"/>
        <w:numPr>
          <w:ilvl w:val="0"/>
          <w:numId w:val="3"/>
        </w:numPr>
        <w:spacing w:after="60"/>
      </w:pPr>
      <w:r>
        <w:t xml:space="preserve">Mobile</w:t>
      </w:r>
    </w:p>
    <w:p>
      <w:pPr>
        <w:pStyle w:val="ListParagraph"/>
        <w:numPr>
          <w:ilvl w:val="0"/>
          <w:numId w:val="3"/>
        </w:numPr>
        <w:spacing w:after="60"/>
      </w:pPr>
      <w:r>
        <w:t xml:space="preserve">Total Investment</w:t>
      </w:r>
    </w:p>
    <w:p>
      <w:pPr>
        <w:pStyle w:val="ListParagraph"/>
        <w:numPr>
          <w:ilvl w:val="0"/>
          <w:numId w:val="3"/>
        </w:numPr>
        <w:spacing w:after="60"/>
      </w:pPr>
      <w:r>
        <w:t xml:space="preserve">ROI %</w:t>
      </w:r>
    </w:p>
    <w:p>
      <w:pPr>
        <w:pStyle w:val="ListParagraph"/>
        <w:numPr>
          <w:ilvl w:val="0"/>
          <w:numId w:val="3"/>
        </w:numPr>
        <w:spacing w:after="60"/>
      </w:pPr>
      <w:r>
        <w:t xml:space="preserve">Commission Paid (for that specific client, to that agent)</w:t>
      </w:r>
    </w:p>
    <w:p>
      <w:pPr>
        <w:pStyle w:val="ListParagraph"/>
        <w:numPr>
          <w:ilvl w:val="0"/>
          <w:numId w:val="3"/>
        </w:numPr>
        <w:spacing w:after="60"/>
      </w:pPr>
      <w:r>
        <w:t xml:space="preserve">Status</w:t>
      </w:r>
    </w:p>
    <w:p>
      <w:pPr>
        <w:pStyle w:val="Heading3"/>
      </w:pPr>
      <w:r>
        <w:t xml:space="preserve">TRD — Technical Requirement (Frontend)</w:t>
      </w:r>
    </w:p>
    <w:p>
      <w:pPr>
        <w:spacing w:after="120"/>
      </w:pPr>
      <w:r>
        <w:rPr>
          <w:b/>
          <w:bCs/>
        </w:rPr>
        <w:t xml:space="preserve">Component-Level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9D6CF" w:sz="1"/>
              <w:left w:val="single" w:color="C9D6CF" w:sz="1"/>
              <w:bottom w:val="single" w:color="C9D6CF" w:sz="1"/>
              <w:right w:val="single" w:color="C9D6CF" w:sz="1"/>
            </w:tcBorders>
            <w:shd w:fill="061D13" w:val="clear"/>
            <w:tcMar>
              <w:top w:type="dxa" w:w="80"/>
              <w:left w:type="dxa" w:w="120"/>
              <w:bottom w:type="dxa" w:w="80"/>
              <w:right w:type="dxa" w:w="120"/>
            </w:tcMar>
            <w:vAlign w:val="center"/>
          </w:tcPr>
          <w:p>
            <w:r>
              <w:rPr>
                <w:b/>
                <w:bCs/>
                <w:color w:val="FFFFFF"/>
                <w:sz w:val="20"/>
                <w:szCs w:val="20"/>
              </w:rPr>
              <w:t xml:space="preserve">Component</w:t>
            </w:r>
          </w:p>
        </w:tc>
        <w:tc>
          <w:tcPr>
            <w:tcW w:type="dxa" w:w="6160"/>
            <w:tcBorders>
              <w:top w:val="single" w:color="C9D6CF" w:sz="1"/>
              <w:left w:val="single" w:color="C9D6CF" w:sz="1"/>
              <w:bottom w:val="single" w:color="C9D6CF" w:sz="1"/>
              <w:right w:val="single" w:color="C9D6CF" w:sz="1"/>
            </w:tcBorders>
            <w:shd w:fill="061D13" w:val="clear"/>
            <w:tcMar>
              <w:top w:type="dxa" w:w="80"/>
              <w:left w:type="dxa" w:w="120"/>
              <w:bottom w:type="dxa" w:w="80"/>
              <w:right w:type="dxa" w:w="120"/>
            </w:tcMar>
            <w:vAlign w:val="center"/>
          </w:tcPr>
          <w:p>
            <w:r>
              <w:rPr>
                <w:b/>
                <w:bCs/>
                <w:color w:val="FFFFFF"/>
                <w:sz w:val="20"/>
                <w:szCs w:val="20"/>
              </w:rPr>
              <w:t xml:space="preserve">Change</w:t>
            </w:r>
          </w:p>
        </w:tc>
      </w:tr>
      <w:tr>
        <w:tc>
          <w:tcPr>
            <w:tcW w:type="dxa" w:w="320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AgentClientTable.jsx</w:t>
            </w:r>
          </w:p>
        </w:tc>
        <w:tc>
          <w:tcPr>
            <w:tcW w:type="dxa" w:w="616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Confirm column configuration array matches the exact required order</w:t>
            </w:r>
          </w:p>
        </w:tc>
      </w:tr>
      <w:tr>
        <w:tc>
          <w:tcPr>
            <w:tcW w:type="dxa" w:w="320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StatusBadge.jsx (new, shared)</w:t>
            </w:r>
          </w:p>
        </w:tc>
        <w:tc>
          <w:tcPr>
            <w:tcW w:type="dxa" w:w="616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Reusable badge used across Client and Agent modules</w:t>
            </w:r>
          </w:p>
        </w:tc>
      </w:tr>
    </w:tbl>
    <w:p>
      <w:pPr>
        <w:spacing w:after="120"/>
      </w:pPr>
      <w:r>
        <w:t xml:space="preserve"/>
      </w:r>
    </w:p>
    <w:p>
      <w:pPr>
        <w:spacing w:after="120"/>
      </w:pPr>
      <w:r>
        <w:rPr>
          <w:b/>
          <w:bCs/>
        </w:rPr>
        <w:t xml:space="preserve">State / Data Notes:</w:t>
      </w:r>
    </w:p>
    <w:p>
      <w:pPr>
        <w:pStyle w:val="ListParagraph"/>
        <w:numPr>
          <w:ilvl w:val="0"/>
          <w:numId w:val="2"/>
        </w:numPr>
        <w:spacing w:after="60"/>
      </w:pPr>
      <w:r>
        <w:t xml:space="preserve">Use a single source-of-truth column config array (key + label + type) so the table renders consistently wherever this view is reused.</w:t>
      </w:r>
    </w:p>
    <w:p>
      <w:pPr>
        <w:pBdr>
          <w:bottom w:val="single" w:color="10B981" w:sz="6" w:space="1"/>
        </w:pBdr>
        <w:spacing w:after="200" w:before="200"/>
      </w:pPr>
    </w:p>
    <w:p>
      <w:pPr>
        <w:pStyle w:val="Heading2"/>
      </w:pPr>
      <w:r>
        <w:t xml:space="preserve">CR-05 — Client Table — ROI % and Perks Columns</w:t>
      </w:r>
    </w:p>
    <w:p>
      <w:pPr>
        <w:shd w:fill="ECFDF5" w:val="clear"/>
        <w:spacing w:after="100"/>
      </w:pPr>
      <w:r>
        <w:rPr>
          <w:b/>
          <w:bCs/>
          <w:color w:val="059669"/>
          <w:sz w:val="20"/>
          <w:szCs w:val="20"/>
        </w:rPr>
        <w:t xml:space="preserve">  Client Point Reference: Point 7  </w:t>
      </w:r>
    </w:p>
    <w:p>
      <w:pPr>
        <w:pStyle w:val="Heading3"/>
      </w:pPr>
      <w:r>
        <w:t xml:space="preserve">PRD — Product Requirement</w:t>
      </w:r>
    </w:p>
    <w:p>
      <w:pPr>
        <w:pStyle w:val="ListParagraph"/>
        <w:numPr>
          <w:ilvl w:val="0"/>
          <w:numId w:val="2"/>
        </w:numPr>
        <w:spacing w:after="60"/>
      </w:pPr>
      <w:r>
        <w:rPr>
          <w:b/>
          <w:bCs/>
        </w:rPr>
        <w:t xml:space="preserve">User Story: </w:t>
      </w:r>
      <w:r>
        <w:t xml:space="preserve">As a Super Admin, I want to see each client's ROI allocation and their perk tier at a glance in the client list.</w:t>
      </w:r>
    </w:p>
    <w:p>
      <w:pPr>
        <w:spacing w:after="120"/>
      </w:pPr>
      <w:r>
        <w:rPr>
          <w:b/>
          <w:bCs/>
        </w:rPr>
        <w:t xml:space="preserve">Functional Requirements:</w:t>
      </w:r>
    </w:p>
    <w:p>
      <w:pPr>
        <w:pStyle w:val="ListParagraph"/>
        <w:numPr>
          <w:ilvl w:val="0"/>
          <w:numId w:val="2"/>
        </w:numPr>
        <w:spacing w:after="60"/>
      </w:pPr>
      <w:r>
        <w:t xml:space="preserve">Add a “ROI % Allocated / Received” column to the main Client Management table.</w:t>
      </w:r>
    </w:p>
    <w:p>
      <w:pPr>
        <w:pStyle w:val="ListParagraph"/>
        <w:numPr>
          <w:ilvl w:val="0"/>
          <w:numId w:val="2"/>
        </w:numPr>
        <w:spacing w:after="60"/>
      </w:pPr>
      <w:r>
        <w:t xml:space="preserve">Add a “Perks” column — an auto-derived badge based on investment tier (e.g. Silver below ₹10L, Gold ₹10L–50L, Platinum above ₹50L — exact thresholds pending confirmation from client, consistent with the original SOW's Perks &amp; Recognition module).</w:t>
      </w:r>
    </w:p>
    <w:p>
      <w:pPr>
        <w:spacing w:after="120"/>
      </w:pPr>
      <w:r>
        <w:rPr>
          <w:b/>
          <w:bCs/>
        </w:rPr>
        <w:t xml:space="preserve">Acceptance Criteria:</w:t>
      </w:r>
    </w:p>
    <w:p>
      <w:pPr>
        <w:pStyle w:val="ListParagraph"/>
        <w:numPr>
          <w:ilvl w:val="0"/>
          <w:numId w:val="2"/>
        </w:numPr>
        <w:spacing w:after="60"/>
      </w:pPr>
      <w:r>
        <w:t xml:space="preserve">The Perk badge auto-updates whenever a client's total investment crosses a tier threshold; no manual admin action required.</w:t>
      </w:r>
    </w:p>
    <w:p>
      <w:pPr>
        <w:pStyle w:val="ListParagraph"/>
        <w:numPr>
          <w:ilvl w:val="0"/>
          <w:numId w:val="2"/>
        </w:numPr>
        <w:spacing w:after="60"/>
      </w:pPr>
      <w:r>
        <w:t xml:space="preserve">ROI % is editable only from the ROI Management module (CR-11); read-only here.</w:t>
      </w:r>
    </w:p>
    <w:p>
      <w:pPr>
        <w:pStyle w:val="Heading3"/>
      </w:pPr>
      <w:r>
        <w:t xml:space="preserve">TRD — Technical Requirement (Frontend)</w:t>
      </w:r>
    </w:p>
    <w:p>
      <w:pPr>
        <w:spacing w:after="120"/>
      </w:pPr>
      <w:r>
        <w:rPr>
          <w:b/>
          <w:bCs/>
        </w:rPr>
        <w:t xml:space="preserve">Component-Level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9D6CF" w:sz="1"/>
              <w:left w:val="single" w:color="C9D6CF" w:sz="1"/>
              <w:bottom w:val="single" w:color="C9D6CF" w:sz="1"/>
              <w:right w:val="single" w:color="C9D6CF" w:sz="1"/>
            </w:tcBorders>
            <w:shd w:fill="061D13" w:val="clear"/>
            <w:tcMar>
              <w:top w:type="dxa" w:w="80"/>
              <w:left w:type="dxa" w:w="120"/>
              <w:bottom w:type="dxa" w:w="80"/>
              <w:right w:type="dxa" w:w="120"/>
            </w:tcMar>
            <w:vAlign w:val="center"/>
          </w:tcPr>
          <w:p>
            <w:r>
              <w:rPr>
                <w:b/>
                <w:bCs/>
                <w:color w:val="FFFFFF"/>
                <w:sz w:val="20"/>
                <w:szCs w:val="20"/>
              </w:rPr>
              <w:t xml:space="preserve">Component</w:t>
            </w:r>
          </w:p>
        </w:tc>
        <w:tc>
          <w:tcPr>
            <w:tcW w:type="dxa" w:w="6160"/>
            <w:tcBorders>
              <w:top w:val="single" w:color="C9D6CF" w:sz="1"/>
              <w:left w:val="single" w:color="C9D6CF" w:sz="1"/>
              <w:bottom w:val="single" w:color="C9D6CF" w:sz="1"/>
              <w:right w:val="single" w:color="C9D6CF" w:sz="1"/>
            </w:tcBorders>
            <w:shd w:fill="061D13" w:val="clear"/>
            <w:tcMar>
              <w:top w:type="dxa" w:w="80"/>
              <w:left w:type="dxa" w:w="120"/>
              <w:bottom w:type="dxa" w:w="80"/>
              <w:right w:type="dxa" w:w="120"/>
            </w:tcMar>
            <w:vAlign w:val="center"/>
          </w:tcPr>
          <w:p>
            <w:r>
              <w:rPr>
                <w:b/>
                <w:bCs/>
                <w:color w:val="FFFFFF"/>
                <w:sz w:val="20"/>
                <w:szCs w:val="20"/>
              </w:rPr>
              <w:t xml:space="preserve">Change</w:t>
            </w:r>
          </w:p>
        </w:tc>
      </w:tr>
      <w:tr>
        <w:tc>
          <w:tcPr>
            <w:tcW w:type="dxa" w:w="320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ClientTable.jsx</w:t>
            </w:r>
          </w:p>
        </w:tc>
        <w:tc>
          <w:tcPr>
            <w:tcW w:type="dxa" w:w="616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Add two new column definitions</w:t>
            </w:r>
          </w:p>
        </w:tc>
      </w:tr>
      <w:tr>
        <w:tc>
          <w:tcPr>
            <w:tcW w:type="dxa" w:w="320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PerkBadge.jsx (new)</w:t>
            </w:r>
          </w:p>
        </w:tc>
        <w:tc>
          <w:tcPr>
            <w:tcW w:type="dxa" w:w="616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Accepts investmentAmount prop, internally maps to a tier and renders a styled badge</w:t>
            </w:r>
          </w:p>
        </w:tc>
      </w:tr>
      <w:tr>
        <w:tc>
          <w:tcPr>
            <w:tcW w:type="dxa" w:w="320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getPerkTier.js (new utility)</w:t>
            </w:r>
          </w:p>
        </w:tc>
        <w:tc>
          <w:tcPr>
            <w:tcW w:type="dxa" w:w="616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Shared tiering logic reused wherever investment-based perks matter</w:t>
            </w:r>
          </w:p>
        </w:tc>
      </w:tr>
    </w:tbl>
    <w:p>
      <w:pPr>
        <w:spacing w:after="120"/>
      </w:pPr>
      <w:r>
        <w:t xml:space="preserve"/>
      </w:r>
    </w:p>
    <w:p>
      <w:pPr>
        <w:spacing w:after="120"/>
      </w:pPr>
      <w:r>
        <w:rPr>
          <w:b/>
          <w:bCs/>
        </w:rPr>
        <w:t xml:space="preserve">State / Data Notes:</w:t>
      </w:r>
    </w:p>
    <w:p>
      <w:pPr>
        <w:pStyle w:val="ListParagraph"/>
        <w:numPr>
          <w:ilvl w:val="0"/>
          <w:numId w:val="2"/>
        </w:numPr>
        <w:spacing w:after="60"/>
      </w:pPr>
      <w:r>
        <w:t xml:space="preserve">API field: client object should include roiPercent and totalInvestment; perk tier is computed client-side from totalInvestment unless backend prefers to own this logic.</w:t>
      </w:r>
    </w:p>
    <w:p>
      <w:pPr>
        <w:pBdr>
          <w:bottom w:val="single" w:color="10B981" w:sz="6" w:space="1"/>
        </w:pBdr>
        <w:spacing w:after="200" w:before="200"/>
      </w:pPr>
    </w:p>
    <w:p>
      <w:pPr>
        <w:pStyle w:val="Heading2"/>
      </w:pPr>
      <w:r>
        <w:t xml:space="preserve">CR-06 — Nominee Field in Admin-Side Profile Forms</w:t>
      </w:r>
    </w:p>
    <w:p>
      <w:pPr>
        <w:shd w:fill="ECFDF5" w:val="clear"/>
        <w:spacing w:after="100"/>
      </w:pPr>
      <w:r>
        <w:rPr>
          <w:b/>
          <w:bCs/>
          <w:color w:val="059669"/>
          <w:sz w:val="20"/>
          <w:szCs w:val="20"/>
        </w:rPr>
        <w:t xml:space="preserve">  Client Point Reference: Point 8 (admin-side portion only)  </w:t>
      </w:r>
    </w:p>
    <w:p>
      <w:pPr>
        <w:pStyle w:val="Heading3"/>
      </w:pPr>
      <w:r>
        <w:t xml:space="preserve">PRD — Product Requirement</w:t>
      </w:r>
    </w:p>
    <w:p>
      <w:pPr>
        <w:pStyle w:val="ListParagraph"/>
        <w:numPr>
          <w:ilvl w:val="0"/>
          <w:numId w:val="2"/>
        </w:numPr>
        <w:spacing w:after="60"/>
      </w:pPr>
      <w:r>
        <w:rPr>
          <w:b/>
          <w:bCs/>
        </w:rPr>
        <w:t xml:space="preserve">User Story: </w:t>
      </w:r>
      <w:r>
        <w:t xml:space="preserve">As a Super Admin, when adding or editing an Investor or Agent profile, I should be able to capture nominee details.</w:t>
      </w:r>
    </w:p>
    <w:p>
      <w:pPr>
        <w:spacing w:after="120"/>
      </w:pPr>
      <w:r>
        <w:rPr>
          <w:b/>
          <w:bCs/>
        </w:rPr>
        <w:t xml:space="preserve">Acceptance Criteria:</w:t>
      </w:r>
    </w:p>
    <w:p>
      <w:pPr>
        <w:pStyle w:val="ListParagraph"/>
        <w:numPr>
          <w:ilvl w:val="0"/>
          <w:numId w:val="2"/>
        </w:numPr>
        <w:spacing w:after="60"/>
      </w:pPr>
      <w:r>
        <w:t xml:space="preserve">New fields: Nominee Name (text, required if any nominee field is filled), Nominee Relation (dropdown: Spouse / Parent / Child / Sibling / Other), Nominee Contact Number (optional).</w:t>
      </w:r>
    </w:p>
    <w:p>
      <w:pPr>
        <w:pStyle w:val="ListParagraph"/>
        <w:numPr>
          <w:ilvl w:val="0"/>
          <w:numId w:val="2"/>
        </w:numPr>
        <w:spacing w:after="60"/>
      </w:pPr>
      <w:r>
        <w:t xml:space="preserve">Fields appear in both Add Investor and Add Agent forms, and in their respective edit/view forms.</w:t>
      </w:r>
    </w:p>
    <w:p>
      <w:pPr>
        <w:pStyle w:val="Heading3"/>
      </w:pPr>
      <w:r>
        <w:t xml:space="preserve">TRD — Technical Requirement (Frontend)</w:t>
      </w:r>
    </w:p>
    <w:p>
      <w:pPr>
        <w:spacing w:after="120"/>
      </w:pPr>
      <w:r>
        <w:rPr>
          <w:b/>
          <w:bCs/>
        </w:rPr>
        <w:t xml:space="preserve">Component-Level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9D6CF" w:sz="1"/>
              <w:left w:val="single" w:color="C9D6CF" w:sz="1"/>
              <w:bottom w:val="single" w:color="C9D6CF" w:sz="1"/>
              <w:right w:val="single" w:color="C9D6CF" w:sz="1"/>
            </w:tcBorders>
            <w:shd w:fill="061D13" w:val="clear"/>
            <w:tcMar>
              <w:top w:type="dxa" w:w="80"/>
              <w:left w:type="dxa" w:w="120"/>
              <w:bottom w:type="dxa" w:w="80"/>
              <w:right w:type="dxa" w:w="120"/>
            </w:tcMar>
            <w:vAlign w:val="center"/>
          </w:tcPr>
          <w:p>
            <w:r>
              <w:rPr>
                <w:b/>
                <w:bCs/>
                <w:color w:val="FFFFFF"/>
                <w:sz w:val="20"/>
                <w:szCs w:val="20"/>
              </w:rPr>
              <w:t xml:space="preserve">Component</w:t>
            </w:r>
          </w:p>
        </w:tc>
        <w:tc>
          <w:tcPr>
            <w:tcW w:type="dxa" w:w="6160"/>
            <w:tcBorders>
              <w:top w:val="single" w:color="C9D6CF" w:sz="1"/>
              <w:left w:val="single" w:color="C9D6CF" w:sz="1"/>
              <w:bottom w:val="single" w:color="C9D6CF" w:sz="1"/>
              <w:right w:val="single" w:color="C9D6CF" w:sz="1"/>
            </w:tcBorders>
            <w:shd w:fill="061D13" w:val="clear"/>
            <w:tcMar>
              <w:top w:type="dxa" w:w="80"/>
              <w:left w:type="dxa" w:w="120"/>
              <w:bottom w:type="dxa" w:w="80"/>
              <w:right w:type="dxa" w:w="120"/>
            </w:tcMar>
            <w:vAlign w:val="center"/>
          </w:tcPr>
          <w:p>
            <w:r>
              <w:rPr>
                <w:b/>
                <w:bCs/>
                <w:color w:val="FFFFFF"/>
                <w:sz w:val="20"/>
                <w:szCs w:val="20"/>
              </w:rPr>
              <w:t xml:space="preserve">Change</w:t>
            </w:r>
          </w:p>
        </w:tc>
      </w:tr>
      <w:tr>
        <w:tc>
          <w:tcPr>
            <w:tcW w:type="dxa" w:w="320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InvestorProfileForm.jsx</w:t>
            </w:r>
          </w:p>
        </w:tc>
        <w:tc>
          <w:tcPr>
            <w:tcW w:type="dxa" w:w="616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Add three new fields</w:t>
            </w:r>
          </w:p>
        </w:tc>
      </w:tr>
      <w:tr>
        <w:tc>
          <w:tcPr>
            <w:tcW w:type="dxa" w:w="320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AgentProfileForm.jsx</w:t>
            </w:r>
          </w:p>
        </w:tc>
        <w:tc>
          <w:tcPr>
            <w:tcW w:type="dxa" w:w="616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Add three new fields</w:t>
            </w:r>
          </w:p>
        </w:tc>
      </w:tr>
    </w:tbl>
    <w:p>
      <w:pPr>
        <w:spacing w:after="120"/>
      </w:pPr>
      <w:r>
        <w:t xml:space="preserve"/>
      </w:r>
    </w:p>
    <w:p>
      <w:pPr>
        <w:spacing w:after="120"/>
      </w:pPr>
      <w:r>
        <w:rPr>
          <w:b/>
          <w:bCs/>
        </w:rPr>
        <w:t xml:space="preserve">State / Data Notes:</w:t>
      </w:r>
    </w:p>
    <w:p>
      <w:pPr>
        <w:pStyle w:val="ListParagraph"/>
        <w:numPr>
          <w:ilvl w:val="0"/>
          <w:numId w:val="2"/>
        </w:numPr>
        <w:spacing w:after="60"/>
      </w:pPr>
      <w:r>
        <w:t xml:space="preserve">API payload addition: nominee: { name, relation, contact } as a nested object.</w:t>
      </w:r>
    </w:p>
    <w:p>
      <w:pPr>
        <w:spacing w:after="120"/>
      </w:pPr>
      <w:r>
        <w:rPr>
          <w:b/>
          <w:bCs/>
        </w:rPr>
        <w:t xml:space="preserve">Validation Rules:</w:t>
      </w:r>
    </w:p>
    <w:p>
      <w:pPr>
        <w:pStyle w:val="ListParagraph"/>
        <w:numPr>
          <w:ilvl w:val="0"/>
          <w:numId w:val="2"/>
        </w:numPr>
        <w:spacing w:after="60"/>
      </w:pPr>
      <w:r>
        <w:t xml:space="preserve">Nominee Name becomes required only if any other nominee field is filled (prevents partial entries).</w:t>
      </w:r>
    </w:p>
    <w:p>
      <w:pPr>
        <w:pStyle w:val="ListParagraph"/>
        <w:numPr>
          <w:ilvl w:val="0"/>
          <w:numId w:val="2"/>
        </w:numPr>
        <w:spacing w:after="60"/>
      </w:pPr>
      <w:r>
        <w:t xml:space="preserve">Mobile number pattern validation applied to Nominee Contact.</w:t>
      </w:r>
    </w:p>
    <w:p>
      <w:pPr>
        <w:pBdr>
          <w:bottom w:val="single" w:color="10B981" w:sz="6" w:space="1"/>
        </w:pBdr>
        <w:spacing w:after="200" w:before="200"/>
      </w:pPr>
    </w:p>
    <w:p>
      <w:pPr>
        <w:pStyle w:val="Heading2"/>
      </w:pPr>
      <w:r>
        <w:t xml:space="preserve">CR-07 — Service Requests — New Section</w:t>
      </w:r>
    </w:p>
    <w:p>
      <w:pPr>
        <w:shd w:fill="ECFDF5" w:val="clear"/>
        <w:spacing w:after="100"/>
      </w:pPr>
      <w:r>
        <w:rPr>
          <w:b/>
          <w:bCs/>
          <w:color w:val="059669"/>
          <w:sz w:val="20"/>
          <w:szCs w:val="20"/>
        </w:rPr>
        <w:t xml:space="preserve">  Client Point Reference: Point 9 (receiving end only)  </w:t>
      </w:r>
    </w:p>
    <w:p>
      <w:pPr>
        <w:pStyle w:val="Heading3"/>
      </w:pPr>
      <w:r>
        <w:t xml:space="preserve">PRD — Product Requirement</w:t>
      </w:r>
    </w:p>
    <w:p>
      <w:pPr>
        <w:pStyle w:val="ListParagraph"/>
        <w:numPr>
          <w:ilvl w:val="0"/>
          <w:numId w:val="2"/>
        </w:numPr>
        <w:spacing w:after="60"/>
      </w:pPr>
      <w:r>
        <w:rPr>
          <w:b/>
          <w:bCs/>
        </w:rPr>
        <w:t xml:space="preserve">User Story: </w:t>
      </w:r>
      <w:r>
        <w:t xml:space="preserve">As a Super Admin, I want a centralized place to view and manage all service requests raised by clients and agents.</w:t>
      </w:r>
    </w:p>
    <w:p>
      <w:pPr>
        <w:spacing w:after="120"/>
      </w:pPr>
      <w:r>
        <w:rPr>
          <w:b/>
          <w:bCs/>
        </w:rPr>
        <w:t xml:space="preserve">Functional Requirements:</w:t>
      </w:r>
    </w:p>
    <w:p>
      <w:pPr>
        <w:pStyle w:val="ListParagraph"/>
        <w:numPr>
          <w:ilvl w:val="0"/>
          <w:numId w:val="2"/>
        </w:numPr>
        <w:spacing w:after="60"/>
      </w:pPr>
      <w:r>
        <w:t xml:space="preserve">New sidebar menu item: “Service Requests”.</w:t>
      </w:r>
    </w:p>
    <w:p>
      <w:pPr>
        <w:pStyle w:val="ListParagraph"/>
        <w:numPr>
          <w:ilvl w:val="0"/>
          <w:numId w:val="2"/>
        </w:numPr>
        <w:spacing w:after="60"/>
      </w:pPr>
      <w:r>
        <w:t xml:space="preserve">List view columns: Request ID, Raised By (name + type tag: Client / Agent), Date Raised, Request Type / Subject, Status.</w:t>
      </w:r>
    </w:p>
    <w:p>
      <w:pPr>
        <w:pStyle w:val="ListParagraph"/>
        <w:numPr>
          <w:ilvl w:val="0"/>
          <w:numId w:val="2"/>
        </w:numPr>
        <w:spacing w:after="60"/>
      </w:pPr>
      <w:r>
        <w:t xml:space="preserve">Detail view: full description, ability to change status, and add an internal response/note.</w:t>
      </w:r>
    </w:p>
    <w:p>
      <w:pPr>
        <w:spacing w:after="120"/>
      </w:pPr>
      <w:r>
        <w:rPr>
          <w:b/>
          <w:bCs/>
        </w:rPr>
        <w:t xml:space="preserve">Acceptance Criteria:</w:t>
      </w:r>
    </w:p>
    <w:p>
      <w:pPr>
        <w:pStyle w:val="ListParagraph"/>
        <w:numPr>
          <w:ilvl w:val="0"/>
          <w:numId w:val="2"/>
        </w:numPr>
        <w:spacing w:after="60"/>
      </w:pPr>
      <w:r>
        <w:t xml:space="preserve">Status options: Open, In Progress, Resolved, Closed.</w:t>
      </w:r>
    </w:p>
    <w:p>
      <w:pPr>
        <w:pStyle w:val="ListParagraph"/>
        <w:numPr>
          <w:ilvl w:val="0"/>
          <w:numId w:val="2"/>
        </w:numPr>
        <w:spacing w:after="60"/>
      </w:pPr>
      <w:r>
        <w:t xml:space="preserve">Filterable by status, by raiser type (Client / Agent), and by date range.</w:t>
      </w:r>
    </w:p>
    <w:p>
      <w:pPr>
        <w:pStyle w:val="ListParagraph"/>
        <w:numPr>
          <w:ilvl w:val="0"/>
          <w:numId w:val="2"/>
        </w:numPr>
        <w:spacing w:after="60"/>
      </w:pPr>
      <w:r>
        <w:t xml:space="preserve">An unresolved request shows a notification badge count on the sidebar icon.</w:t>
      </w:r>
    </w:p>
    <w:p>
      <w:pPr>
        <w:pStyle w:val="Heading3"/>
      </w:pPr>
      <w:r>
        <w:t xml:space="preserve">TRD — Technical Requirement (Frontend)</w:t>
      </w:r>
    </w:p>
    <w:p>
      <w:pPr>
        <w:spacing w:after="120"/>
      </w:pPr>
      <w:r>
        <w:rPr>
          <w:b/>
          <w:bCs/>
        </w:rPr>
        <w:t xml:space="preserve">Component-Level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9D6CF" w:sz="1"/>
              <w:left w:val="single" w:color="C9D6CF" w:sz="1"/>
              <w:bottom w:val="single" w:color="C9D6CF" w:sz="1"/>
              <w:right w:val="single" w:color="C9D6CF" w:sz="1"/>
            </w:tcBorders>
            <w:shd w:fill="061D13" w:val="clear"/>
            <w:tcMar>
              <w:top w:type="dxa" w:w="80"/>
              <w:left w:type="dxa" w:w="120"/>
              <w:bottom w:type="dxa" w:w="80"/>
              <w:right w:type="dxa" w:w="120"/>
            </w:tcMar>
            <w:vAlign w:val="center"/>
          </w:tcPr>
          <w:p>
            <w:r>
              <w:rPr>
                <w:b/>
                <w:bCs/>
                <w:color w:val="FFFFFF"/>
                <w:sz w:val="20"/>
                <w:szCs w:val="20"/>
              </w:rPr>
              <w:t xml:space="preserve">Component</w:t>
            </w:r>
          </w:p>
        </w:tc>
        <w:tc>
          <w:tcPr>
            <w:tcW w:type="dxa" w:w="6160"/>
            <w:tcBorders>
              <w:top w:val="single" w:color="C9D6CF" w:sz="1"/>
              <w:left w:val="single" w:color="C9D6CF" w:sz="1"/>
              <w:bottom w:val="single" w:color="C9D6CF" w:sz="1"/>
              <w:right w:val="single" w:color="C9D6CF" w:sz="1"/>
            </w:tcBorders>
            <w:shd w:fill="061D13" w:val="clear"/>
            <w:tcMar>
              <w:top w:type="dxa" w:w="80"/>
              <w:left w:type="dxa" w:w="120"/>
              <w:bottom w:type="dxa" w:w="80"/>
              <w:right w:type="dxa" w:w="120"/>
            </w:tcMar>
            <w:vAlign w:val="center"/>
          </w:tcPr>
          <w:p>
            <w:r>
              <w:rPr>
                <w:b/>
                <w:bCs/>
                <w:color w:val="FFFFFF"/>
                <w:sz w:val="20"/>
                <w:szCs w:val="20"/>
              </w:rPr>
              <w:t xml:space="preserve">Change</w:t>
            </w:r>
          </w:p>
        </w:tc>
      </w:tr>
      <w:tr>
        <w:tc>
          <w:tcPr>
            <w:tcW w:type="dxa" w:w="320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ServiceRequestsPage.jsx (new)</w:t>
            </w:r>
          </w:p>
        </w:tc>
        <w:tc>
          <w:tcPr>
            <w:tcW w:type="dxa" w:w="616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List view with filters</w:t>
            </w:r>
          </w:p>
        </w:tc>
      </w:tr>
      <w:tr>
        <w:tc>
          <w:tcPr>
            <w:tcW w:type="dxa" w:w="320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ServiceRequestTable.jsx (new)</w:t>
            </w:r>
          </w:p>
        </w:tc>
        <w:tc>
          <w:tcPr>
            <w:tcW w:type="dxa" w:w="616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Table component</w:t>
            </w:r>
          </w:p>
        </w:tc>
      </w:tr>
      <w:tr>
        <w:tc>
          <w:tcPr>
            <w:tcW w:type="dxa" w:w="320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ServiceRequestDetail.jsx (new)</w:t>
            </w:r>
          </w:p>
        </w:tc>
        <w:tc>
          <w:tcPr>
            <w:tcW w:type="dxa" w:w="616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Detail / response view</w:t>
            </w:r>
          </w:p>
        </w:tc>
      </w:tr>
    </w:tbl>
    <w:p>
      <w:pPr>
        <w:spacing w:after="120"/>
      </w:pPr>
      <w:r>
        <w:t xml:space="preserve"/>
      </w:r>
    </w:p>
    <w:p>
      <w:pPr>
        <w:spacing w:after="120"/>
      </w:pPr>
      <w:r>
        <w:rPr>
          <w:b/>
          <w:bCs/>
        </w:rPr>
        <w:t xml:space="preserve">State / Data Notes:</w:t>
      </w:r>
    </w:p>
    <w:p>
      <w:pPr>
        <w:pStyle w:val="ListParagraph"/>
        <w:numPr>
          <w:ilvl w:val="0"/>
          <w:numId w:val="2"/>
        </w:numPr>
        <w:spacing w:after="60"/>
      </w:pPr>
      <w:r>
        <w:t xml:space="preserve">Routes: /admin/service-requests and /admin/service-requests/:id.</w:t>
      </w:r>
    </w:p>
    <w:p>
      <w:pPr>
        <w:pStyle w:val="ListParagraph"/>
        <w:numPr>
          <w:ilvl w:val="0"/>
          <w:numId w:val="2"/>
        </w:numPr>
        <w:spacing w:after="60"/>
      </w:pPr>
      <w:r>
        <w:t xml:space="preserve">Unresolved badge count can be implemented via simple polling for v1; a websocket can be considered later.</w:t>
      </w:r>
    </w:p>
    <w:p>
      <w:pPr>
        <w:spacing w:after="120"/>
      </w:pPr>
      <w:r>
        <w:rPr>
          <w:b/>
          <w:bCs/>
        </w:rPr>
        <w:t xml:space="preserve">API Contract (assumed — confirm with backend):</w:t>
      </w:r>
    </w:p>
    <w:p>
      <w:pPr>
        <w:pBdr>
          <w:top w:val="single" w:color="C9D6CF" w:sz="4"/>
          <w:bottom w:val="single" w:color="C9D6CF" w:sz="4"/>
        </w:pBdr>
        <w:shd w:fill="F3F7F5" w:val="clear"/>
        <w:spacing w:after="160" w:before="80"/>
      </w:pPr>
      <w:r>
        <w:rPr>
          <w:rFonts w:ascii="Consolas" w:cs="Consolas" w:eastAsia="Consolas" w:hAnsi="Consolas"/>
          <w:color w:val="1F3B2C"/>
          <w:sz w:val="18"/>
          <w:szCs w:val="18"/>
        </w:rPr>
        <w:t xml:space="preserve">GET /api/admin/service-requests?status=&amp;type=&amp;from=&amp;to=</w:t>
      </w:r>
      <w:r>
        <w:br/>
        <w:t xml:space="preserve"/>
      </w:r>
      <w:r>
        <w:rPr>
          <w:rFonts w:ascii="Consolas" w:cs="Consolas" w:eastAsia="Consolas" w:hAnsi="Consolas"/>
          <w:color w:val="1F3B2C"/>
          <w:sz w:val="18"/>
          <w:szCs w:val="18"/>
        </w:rPr>
        <w:t xml:space="preserve">GET /api/admin/service-requests/:id</w:t>
      </w:r>
      <w:r>
        <w:br/>
        <w:t xml:space="preserve"/>
      </w:r>
      <w:r>
        <w:rPr>
          <w:rFonts w:ascii="Consolas" w:cs="Consolas" w:eastAsia="Consolas" w:hAnsi="Consolas"/>
          <w:color w:val="1F3B2C"/>
          <w:sz w:val="18"/>
          <w:szCs w:val="18"/>
        </w:rPr>
        <w:t xml:space="preserve">PATCH /api/admin/service-requests/:id   Body: { status, adminNote }</w:t>
      </w:r>
      <w:r>
        <w:br/>
        <w:t xml:space="preserve"/>
      </w:r>
      <w:r>
        <w:rPr>
          <w:rFonts w:ascii="Consolas" w:cs="Consolas" w:eastAsia="Consolas" w:hAnsi="Consolas"/>
          <w:color w:val="1F3B2C"/>
          <w:sz w:val="18"/>
          <w:szCs w:val="18"/>
        </w:rPr>
        <w:t xml:space="preserve">GET /api/admin/service-requests/unresolved-count</w:t>
      </w:r>
    </w:p>
    <w:p>
      <w:pPr>
        <w:spacing w:after="120"/>
      </w:pPr>
      <w:r>
        <w:rPr>
          <w:b/>
          <w:bCs/>
        </w:rPr>
        <w:t xml:space="preserve">UI/UX Notes:</w:t>
      </w:r>
    </w:p>
    <w:p>
      <w:pPr>
        <w:pStyle w:val="ListParagraph"/>
        <w:numPr>
          <w:ilvl w:val="0"/>
          <w:numId w:val="2"/>
        </w:numPr>
        <w:spacing w:after="60"/>
      </w:pPr>
      <w:r>
        <w:t xml:space="preserve">Reuse the same StatusBadge.jsx pattern used elsewhere for visual consistency.</w:t>
      </w:r>
    </w:p>
    <w:p>
      <w:pPr>
        <w:pBdr>
          <w:bottom w:val="single" w:color="10B981" w:sz="6" w:space="1"/>
        </w:pBdr>
        <w:spacing w:after="200" w:before="200"/>
      </w:pPr>
    </w:p>
    <w:p>
      <w:pPr>
        <w:pStyle w:val="Heading2"/>
      </w:pPr>
      <w:r>
        <w:t xml:space="preserve">CR-08 — “Non Agent Client” Label</w:t>
      </w:r>
    </w:p>
    <w:p>
      <w:pPr>
        <w:shd w:fill="ECFDF5" w:val="clear"/>
        <w:spacing w:after="100"/>
      </w:pPr>
      <w:r>
        <w:rPr>
          <w:b/>
          <w:bCs/>
          <w:color w:val="059669"/>
          <w:sz w:val="20"/>
          <w:szCs w:val="20"/>
        </w:rPr>
        <w:t xml:space="preserve">  Client Point Reference: Point 10  </w:t>
      </w:r>
    </w:p>
    <w:p>
      <w:pPr>
        <w:pStyle w:val="Heading3"/>
      </w:pPr>
      <w:r>
        <w:t xml:space="preserve">PRD — Product Requirement</w:t>
      </w:r>
    </w:p>
    <w:p>
      <w:pPr>
        <w:pStyle w:val="ListParagraph"/>
        <w:numPr>
          <w:ilvl w:val="0"/>
          <w:numId w:val="2"/>
        </w:numPr>
        <w:spacing w:after="60"/>
      </w:pPr>
      <w:r>
        <w:rPr>
          <w:b/>
          <w:bCs/>
        </w:rPr>
        <w:t xml:space="preserve">User Story: </w:t>
      </w:r>
      <w:r>
        <w:t xml:space="preserve">As a Super Admin, I want to clearly identify clients who joined directly without any agent, since they have no agent commission attached.</w:t>
      </w:r>
    </w:p>
    <w:p>
      <w:pPr>
        <w:spacing w:after="120"/>
      </w:pPr>
      <w:r>
        <w:rPr>
          <w:b/>
          <w:bCs/>
        </w:rPr>
        <w:t xml:space="preserve">Acceptance Criteria:</w:t>
      </w:r>
    </w:p>
    <w:p>
      <w:pPr>
        <w:pStyle w:val="ListParagraph"/>
        <w:numPr>
          <w:ilvl w:val="0"/>
          <w:numId w:val="2"/>
        </w:numPr>
        <w:spacing w:after="60"/>
      </w:pPr>
      <w:r>
        <w:t xml:space="preserve">In the Agent column of the Client table, if no agent is linked, show the label “Non Agent Client” (grey badge) instead of a blank cell or dash.</w:t>
      </w:r>
    </w:p>
    <w:p>
      <w:pPr>
        <w:pStyle w:val="ListParagraph"/>
        <w:numPr>
          <w:ilvl w:val="0"/>
          <w:numId w:val="2"/>
        </w:numPr>
        <w:spacing w:after="60"/>
      </w:pPr>
      <w:r>
        <w:t xml:space="preserve">This is filterable via a dropdown: All / With Agent / Non Agent Client.</w:t>
      </w:r>
    </w:p>
    <w:p>
      <w:pPr>
        <w:pStyle w:val="Heading3"/>
      </w:pPr>
      <w:r>
        <w:t xml:space="preserve">TRD — Technical Requirement (Frontend)</w:t>
      </w:r>
    </w:p>
    <w:p>
      <w:pPr>
        <w:spacing w:after="120"/>
      </w:pPr>
      <w:r>
        <w:rPr>
          <w:b/>
          <w:bCs/>
        </w:rPr>
        <w:t xml:space="preserve">Component-Level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9D6CF" w:sz="1"/>
              <w:left w:val="single" w:color="C9D6CF" w:sz="1"/>
              <w:bottom w:val="single" w:color="C9D6CF" w:sz="1"/>
              <w:right w:val="single" w:color="C9D6CF" w:sz="1"/>
            </w:tcBorders>
            <w:shd w:fill="061D13" w:val="clear"/>
            <w:tcMar>
              <w:top w:type="dxa" w:w="80"/>
              <w:left w:type="dxa" w:w="120"/>
              <w:bottom w:type="dxa" w:w="80"/>
              <w:right w:type="dxa" w:w="120"/>
            </w:tcMar>
            <w:vAlign w:val="center"/>
          </w:tcPr>
          <w:p>
            <w:r>
              <w:rPr>
                <w:b/>
                <w:bCs/>
                <w:color w:val="FFFFFF"/>
                <w:sz w:val="20"/>
                <w:szCs w:val="20"/>
              </w:rPr>
              <w:t xml:space="preserve">Component</w:t>
            </w:r>
          </w:p>
        </w:tc>
        <w:tc>
          <w:tcPr>
            <w:tcW w:type="dxa" w:w="6160"/>
            <w:tcBorders>
              <w:top w:val="single" w:color="C9D6CF" w:sz="1"/>
              <w:left w:val="single" w:color="C9D6CF" w:sz="1"/>
              <w:bottom w:val="single" w:color="C9D6CF" w:sz="1"/>
              <w:right w:val="single" w:color="C9D6CF" w:sz="1"/>
            </w:tcBorders>
            <w:shd w:fill="061D13" w:val="clear"/>
            <w:tcMar>
              <w:top w:type="dxa" w:w="80"/>
              <w:left w:type="dxa" w:w="120"/>
              <w:bottom w:type="dxa" w:w="80"/>
              <w:right w:type="dxa" w:w="120"/>
            </w:tcMar>
            <w:vAlign w:val="center"/>
          </w:tcPr>
          <w:p>
            <w:r>
              <w:rPr>
                <w:b/>
                <w:bCs/>
                <w:color w:val="FFFFFF"/>
                <w:sz w:val="20"/>
                <w:szCs w:val="20"/>
              </w:rPr>
              <w:t xml:space="preserve">Change</w:t>
            </w:r>
          </w:p>
        </w:tc>
      </w:tr>
      <w:tr>
        <w:tc>
          <w:tcPr>
            <w:tcW w:type="dxa" w:w="320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ClientTable.jsx</w:t>
            </w:r>
          </w:p>
        </w:tc>
        <w:tc>
          <w:tcPr>
            <w:tcW w:type="dxa" w:w="616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Conditional render: agent link if agentId exists, else a muted “Non Agent Client” badge</w:t>
            </w:r>
          </w:p>
        </w:tc>
      </w:tr>
    </w:tbl>
    <w:p>
      <w:pPr>
        <w:spacing w:after="120"/>
      </w:pPr>
      <w:r>
        <w:t xml:space="preserve"/>
      </w:r>
    </w:p>
    <w:p>
      <w:pPr>
        <w:spacing w:after="120"/>
      </w:pPr>
      <w:r>
        <w:rPr>
          <w:b/>
          <w:bCs/>
        </w:rPr>
        <w:t xml:space="preserve">API Contract (assumed — confirm with backend):</w:t>
      </w:r>
    </w:p>
    <w:p>
      <w:pPr>
        <w:pBdr>
          <w:top w:val="single" w:color="C9D6CF" w:sz="4"/>
          <w:bottom w:val="single" w:color="C9D6CF" w:sz="4"/>
        </w:pBdr>
        <w:shd w:fill="F3F7F5" w:val="clear"/>
        <w:spacing w:after="160" w:before="80"/>
      </w:pPr>
      <w:r>
        <w:rPr>
          <w:rFonts w:ascii="Consolas" w:cs="Consolas" w:eastAsia="Consolas" w:hAnsi="Consolas"/>
          <w:color w:val="1F3B2C"/>
          <w:sz w:val="18"/>
          <w:szCs w:val="18"/>
        </w:rPr>
        <w:t xml:space="preserve">GET /api/admin/clients?hasAgent=false</w:t>
      </w:r>
    </w:p>
    <w:p>
      <w:pPr>
        <w:pBdr>
          <w:bottom w:val="single" w:color="10B981" w:sz="6" w:space="1"/>
        </w:pBdr>
        <w:spacing w:after="200" w:before="200"/>
      </w:pPr>
    </w:p>
    <w:p>
      <w:pPr>
        <w:pStyle w:val="Heading2"/>
      </w:pPr>
      <w:r>
        <w:t xml:space="preserve">CR-09 — Risk Profile Column (Display Only)</w:t>
      </w:r>
    </w:p>
    <w:p>
      <w:pPr>
        <w:shd w:fill="ECFDF5" w:val="clear"/>
        <w:spacing w:after="100"/>
      </w:pPr>
      <w:r>
        <w:rPr>
          <w:b/>
          <w:bCs/>
          <w:color w:val="059669"/>
          <w:sz w:val="20"/>
          <w:szCs w:val="20"/>
        </w:rPr>
        <w:t xml:space="preserve">  Client Point Reference: Point 11 (display portion only)  </w:t>
      </w:r>
    </w:p>
    <w:p>
      <w:pPr>
        <w:pStyle w:val="Heading3"/>
      </w:pPr>
      <w:r>
        <w:t xml:space="preserve">PRD — Product Requirement</w:t>
      </w:r>
    </w:p>
    <w:p>
      <w:pPr>
        <w:pStyle w:val="ListParagraph"/>
        <w:numPr>
          <w:ilvl w:val="0"/>
          <w:numId w:val="2"/>
        </w:numPr>
        <w:spacing w:after="60"/>
      </w:pPr>
      <w:r>
        <w:rPr>
          <w:b/>
          <w:bCs/>
        </w:rPr>
        <w:t xml:space="preserve">User Story: </w:t>
      </w:r>
      <w:r>
        <w:t xml:space="preserve">As a Super Admin, I want to see each client's selected risk profile so investment assignment decisions can align with it.</w:t>
      </w:r>
    </w:p>
    <w:p>
      <w:pPr>
        <w:spacing w:after="120"/>
      </w:pPr>
      <w:r>
        <w:rPr>
          <w:b/>
          <w:bCs/>
        </w:rPr>
        <w:t xml:space="preserve">Acceptance Criteria:</w:t>
      </w:r>
    </w:p>
    <w:p>
      <w:pPr>
        <w:pStyle w:val="ListParagraph"/>
        <w:numPr>
          <w:ilvl w:val="0"/>
          <w:numId w:val="2"/>
        </w:numPr>
        <w:spacing w:after="60"/>
      </w:pPr>
      <w:r>
        <w:t xml:space="preserve">New “Risk Profile” column in the Client table, read-only, populated from the client's registration data.</w:t>
      </w:r>
    </w:p>
    <w:p>
      <w:pPr>
        <w:pStyle w:val="ListParagraph"/>
        <w:numPr>
          <w:ilvl w:val="0"/>
          <w:numId w:val="2"/>
        </w:numPr>
        <w:spacing w:after="60"/>
      </w:pPr>
      <w:r>
        <w:t xml:space="preserve">Exact category list (e.g. Conservative / Moderate / Aggressive) is pending from the client; placeholder logic will be finalized once received.</w:t>
      </w:r>
    </w:p>
    <w:p>
      <w:pPr>
        <w:pStyle w:val="Heading3"/>
      </w:pPr>
      <w:r>
        <w:t xml:space="preserve">TRD — Technical Requirement (Frontend)</w:t>
      </w:r>
    </w:p>
    <w:p>
      <w:pPr>
        <w:spacing w:after="120"/>
      </w:pPr>
      <w:r>
        <w:rPr>
          <w:b/>
          <w:bCs/>
        </w:rPr>
        <w:t xml:space="preserve">Component-Level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9D6CF" w:sz="1"/>
              <w:left w:val="single" w:color="C9D6CF" w:sz="1"/>
              <w:bottom w:val="single" w:color="C9D6CF" w:sz="1"/>
              <w:right w:val="single" w:color="C9D6CF" w:sz="1"/>
            </w:tcBorders>
            <w:shd w:fill="061D13" w:val="clear"/>
            <w:tcMar>
              <w:top w:type="dxa" w:w="80"/>
              <w:left w:type="dxa" w:w="120"/>
              <w:bottom w:type="dxa" w:w="80"/>
              <w:right w:type="dxa" w:w="120"/>
            </w:tcMar>
            <w:vAlign w:val="center"/>
          </w:tcPr>
          <w:p>
            <w:r>
              <w:rPr>
                <w:b/>
                <w:bCs/>
                <w:color w:val="FFFFFF"/>
                <w:sz w:val="20"/>
                <w:szCs w:val="20"/>
              </w:rPr>
              <w:t xml:space="preserve">Component</w:t>
            </w:r>
          </w:p>
        </w:tc>
        <w:tc>
          <w:tcPr>
            <w:tcW w:type="dxa" w:w="6160"/>
            <w:tcBorders>
              <w:top w:val="single" w:color="C9D6CF" w:sz="1"/>
              <w:left w:val="single" w:color="C9D6CF" w:sz="1"/>
              <w:bottom w:val="single" w:color="C9D6CF" w:sz="1"/>
              <w:right w:val="single" w:color="C9D6CF" w:sz="1"/>
            </w:tcBorders>
            <w:shd w:fill="061D13" w:val="clear"/>
            <w:tcMar>
              <w:top w:type="dxa" w:w="80"/>
              <w:left w:type="dxa" w:w="120"/>
              <w:bottom w:type="dxa" w:w="80"/>
              <w:right w:type="dxa" w:w="120"/>
            </w:tcMar>
            <w:vAlign w:val="center"/>
          </w:tcPr>
          <w:p>
            <w:r>
              <w:rPr>
                <w:b/>
                <w:bCs/>
                <w:color w:val="FFFFFF"/>
                <w:sz w:val="20"/>
                <w:szCs w:val="20"/>
              </w:rPr>
              <w:t xml:space="preserve">Change</w:t>
            </w:r>
          </w:p>
        </w:tc>
      </w:tr>
      <w:tr>
        <w:tc>
          <w:tcPr>
            <w:tcW w:type="dxa" w:w="320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ClientTable.jsx</w:t>
            </w:r>
          </w:p>
        </w:tc>
        <w:tc>
          <w:tcPr>
            <w:tcW w:type="dxa" w:w="616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Add Risk Profile column</w:t>
            </w:r>
          </w:p>
        </w:tc>
      </w:tr>
      <w:tr>
        <w:tc>
          <w:tcPr>
            <w:tcW w:type="dxa" w:w="320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RiskProfileBadge.jsx (new)</w:t>
            </w:r>
          </w:p>
        </w:tc>
        <w:tc>
          <w:tcPr>
            <w:tcW w:type="dxa" w:w="616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Color-coded badge per category — exact color mapping pending client input</w:t>
            </w:r>
          </w:p>
        </w:tc>
      </w:tr>
    </w:tbl>
    <w:p>
      <w:pPr>
        <w:spacing w:after="120"/>
      </w:pPr>
      <w:r>
        <w:t xml:space="preserve"/>
      </w:r>
    </w:p>
    <w:p>
      <w:pPr>
        <w:spacing w:after="120"/>
      </w:pPr>
      <w:r>
        <w:rPr>
          <w:b/>
          <w:bCs/>
        </w:rPr>
        <w:t xml:space="preserve">State / Data Notes:</w:t>
      </w:r>
    </w:p>
    <w:p>
      <w:pPr>
        <w:pStyle w:val="ListParagraph"/>
        <w:numPr>
          <w:ilvl w:val="0"/>
          <w:numId w:val="2"/>
        </w:numPr>
        <w:spacing w:after="60"/>
      </w:pPr>
      <w:r>
        <w:t xml:space="preserve">API field: riskProfile (string / enum, values pending).</w:t>
      </w:r>
    </w:p>
    <w:p>
      <w:pPr>
        <w:pStyle w:val="ListParagraph"/>
        <w:numPr>
          <w:ilvl w:val="0"/>
          <w:numId w:val="2"/>
        </w:numPr>
        <w:spacing w:after="60"/>
      </w:pPr>
      <w:r>
        <w:t xml:space="preserve">This is intentionally a placeholder build — once the client shares the exact taxonomy, only the badge color-map and dropdown options need updating; no structural change required.</w:t>
      </w:r>
    </w:p>
    <w:p>
      <w:pPr>
        <w:pBdr>
          <w:bottom w:val="single" w:color="10B981" w:sz="6" w:space="1"/>
        </w:pBdr>
        <w:spacing w:after="200" w:before="200"/>
      </w:pPr>
    </w:p>
    <w:p>
      <w:pPr>
        <w:pStyle w:val="Heading2"/>
      </w:pPr>
      <w:r>
        <w:t xml:space="preserve">CR-10 — Manage Investment — Multi-Segment Assignment + Date of Joining</w:t>
      </w:r>
    </w:p>
    <w:p>
      <w:pPr>
        <w:shd w:fill="ECFDF5" w:val="clear"/>
        <w:spacing w:after="100"/>
      </w:pPr>
      <w:r>
        <w:rPr>
          <w:b/>
          <w:bCs/>
          <w:color w:val="059669"/>
          <w:sz w:val="20"/>
          <w:szCs w:val="20"/>
        </w:rPr>
        <w:t xml:space="preserve">  Client Point Reference: Point 12  </w:t>
      </w:r>
    </w:p>
    <w:p>
      <w:pPr>
        <w:pStyle w:val="Heading3"/>
      </w:pPr>
      <w:r>
        <w:t xml:space="preserve">PRD — Product Requirement</w:t>
      </w:r>
    </w:p>
    <w:p>
      <w:pPr>
        <w:pStyle w:val="ListParagraph"/>
        <w:numPr>
          <w:ilvl w:val="0"/>
          <w:numId w:val="2"/>
        </w:numPr>
        <w:spacing w:after="60"/>
      </w:pPr>
      <w:r>
        <w:rPr>
          <w:b/>
          <w:bCs/>
        </w:rPr>
        <w:t xml:space="preserve">User Story: </w:t>
      </w:r>
      <w:r>
        <w:t xml:space="preserve">As a Super Admin, I want to assign a client's investment across multiple segments at once, and record their date of joining at the time of assignment.</w:t>
      </w:r>
    </w:p>
    <w:p>
      <w:pPr>
        <w:spacing w:after="120"/>
      </w:pPr>
      <w:r>
        <w:rPr>
          <w:b/>
          <w:bCs/>
        </w:rPr>
        <w:t xml:space="preserve">Functional Requirements:</w:t>
      </w:r>
    </w:p>
    <w:p>
      <w:pPr>
        <w:pStyle w:val="ListParagraph"/>
        <w:numPr>
          <w:ilvl w:val="0"/>
          <w:numId w:val="2"/>
        </w:numPr>
        <w:spacing w:after="60"/>
      </w:pPr>
      <w:r>
        <w:t xml:space="preserve">The “Add + Assign Investment” form's Segment field becomes a multi-select (currently single-select).</w:t>
      </w:r>
    </w:p>
    <w:p>
      <w:pPr>
        <w:pStyle w:val="ListParagraph"/>
        <w:numPr>
          <w:ilvl w:val="0"/>
          <w:numId w:val="2"/>
        </w:numPr>
        <w:spacing w:after="60"/>
      </w:pPr>
      <w:r>
        <w:t xml:space="preserve">A new Date of Joining field (date picker) is added to this form.</w:t>
      </w:r>
    </w:p>
    <w:p>
      <w:pPr>
        <w:spacing w:after="120"/>
      </w:pPr>
      <w:r>
        <w:rPr>
          <w:b/>
          <w:bCs/>
        </w:rPr>
        <w:t xml:space="preserve">Business Rules:</w:t>
      </w:r>
    </w:p>
    <w:p>
      <w:pPr>
        <w:pStyle w:val="ListParagraph"/>
        <w:numPr>
          <w:ilvl w:val="0"/>
          <w:numId w:val="2"/>
        </w:numPr>
        <w:spacing w:after="60"/>
      </w:pPr>
      <w:r>
        <w:t xml:space="preserve">Segment assignment continues to respect the original SOW logic — based on client risk appetite/profile (10%–100% scale) — but now multiple segments can each carry their own allocation percentage.</w:t>
      </w:r>
    </w:p>
    <w:p>
      <w:pPr>
        <w:spacing w:after="120"/>
      </w:pPr>
      <w:r>
        <w:rPr>
          <w:b/>
          <w:bCs/>
        </w:rPr>
        <w:t xml:space="preserve">Acceptance Criteria:</w:t>
      </w:r>
    </w:p>
    <w:p>
      <w:pPr>
        <w:pStyle w:val="ListParagraph"/>
        <w:numPr>
          <w:ilvl w:val="0"/>
          <w:numId w:val="2"/>
        </w:numPr>
        <w:spacing w:after="60"/>
      </w:pPr>
      <w:r>
        <w:t xml:space="preserve">Admin can select two or more segments (e.g. Film Making 40% + Music 30% + Trading 30%).</w:t>
      </w:r>
    </w:p>
    <w:p>
      <w:pPr>
        <w:pStyle w:val="ListParagraph"/>
        <w:numPr>
          <w:ilvl w:val="0"/>
          <w:numId w:val="2"/>
        </w:numPr>
        <w:spacing w:after="60"/>
      </w:pPr>
      <w:r>
        <w:t xml:space="preserve">System validates that total allocation across selected segments does not exceed 100% (confirm this exact rule with client).</w:t>
      </w:r>
    </w:p>
    <w:p>
      <w:pPr>
        <w:pStyle w:val="ListParagraph"/>
        <w:numPr>
          <w:ilvl w:val="0"/>
          <w:numId w:val="2"/>
        </w:numPr>
        <w:spacing w:after="60"/>
      </w:pPr>
      <w:r>
        <w:t xml:space="preserve">Date of Joining is mandatory and cannot be a future date.</w:t>
      </w:r>
    </w:p>
    <w:p>
      <w:pPr>
        <w:pStyle w:val="Heading3"/>
      </w:pPr>
      <w:r>
        <w:t xml:space="preserve">TRD — Technical Requirement (Frontend)</w:t>
      </w:r>
    </w:p>
    <w:p>
      <w:pPr>
        <w:spacing w:after="120"/>
      </w:pPr>
      <w:r>
        <w:rPr>
          <w:b/>
          <w:bCs/>
        </w:rPr>
        <w:t xml:space="preserve">Component-Level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9D6CF" w:sz="1"/>
              <w:left w:val="single" w:color="C9D6CF" w:sz="1"/>
              <w:bottom w:val="single" w:color="C9D6CF" w:sz="1"/>
              <w:right w:val="single" w:color="C9D6CF" w:sz="1"/>
            </w:tcBorders>
            <w:shd w:fill="061D13" w:val="clear"/>
            <w:tcMar>
              <w:top w:type="dxa" w:w="80"/>
              <w:left w:type="dxa" w:w="120"/>
              <w:bottom w:type="dxa" w:w="80"/>
              <w:right w:type="dxa" w:w="120"/>
            </w:tcMar>
            <w:vAlign w:val="center"/>
          </w:tcPr>
          <w:p>
            <w:r>
              <w:rPr>
                <w:b/>
                <w:bCs/>
                <w:color w:val="FFFFFF"/>
                <w:sz w:val="20"/>
                <w:szCs w:val="20"/>
              </w:rPr>
              <w:t xml:space="preserve">Component</w:t>
            </w:r>
          </w:p>
        </w:tc>
        <w:tc>
          <w:tcPr>
            <w:tcW w:type="dxa" w:w="6160"/>
            <w:tcBorders>
              <w:top w:val="single" w:color="C9D6CF" w:sz="1"/>
              <w:left w:val="single" w:color="C9D6CF" w:sz="1"/>
              <w:bottom w:val="single" w:color="C9D6CF" w:sz="1"/>
              <w:right w:val="single" w:color="C9D6CF" w:sz="1"/>
            </w:tcBorders>
            <w:shd w:fill="061D13" w:val="clear"/>
            <w:tcMar>
              <w:top w:type="dxa" w:w="80"/>
              <w:left w:type="dxa" w:w="120"/>
              <w:bottom w:type="dxa" w:w="80"/>
              <w:right w:type="dxa" w:w="120"/>
            </w:tcMar>
            <w:vAlign w:val="center"/>
          </w:tcPr>
          <w:p>
            <w:r>
              <w:rPr>
                <w:b/>
                <w:bCs/>
                <w:color w:val="FFFFFF"/>
                <w:sz w:val="20"/>
                <w:szCs w:val="20"/>
              </w:rPr>
              <w:t xml:space="preserve">Change</w:t>
            </w:r>
          </w:p>
        </w:tc>
      </w:tr>
      <w:tr>
        <w:tc>
          <w:tcPr>
            <w:tcW w:type="dxa" w:w="320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AssignInvestmentForm.jsx</w:t>
            </w:r>
          </w:p>
        </w:tc>
        <w:tc>
          <w:tcPr>
            <w:tcW w:type="dxa" w:w="616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Replace single &lt;select&gt; with a multi-select (e.g. react-select multi mode, or custom checkbox-chip UI)</w:t>
            </w:r>
          </w:p>
        </w:tc>
      </w:tr>
      <w:tr>
        <w:tc>
          <w:tcPr>
            <w:tcW w:type="dxa" w:w="320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DatePicker field</w:t>
            </w:r>
          </w:p>
        </w:tc>
        <w:tc>
          <w:tcPr>
            <w:tcW w:type="dxa" w:w="616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Added with max date = today</w:t>
            </w:r>
          </w:p>
        </w:tc>
      </w:tr>
    </w:tbl>
    <w:p>
      <w:pPr>
        <w:spacing w:after="120"/>
      </w:pPr>
      <w:r>
        <w:t xml:space="preserve"/>
      </w:r>
    </w:p>
    <w:p>
      <w:pPr>
        <w:spacing w:after="120"/>
      </w:pPr>
      <w:r>
        <w:rPr>
          <w:b/>
          <w:bCs/>
        </w:rPr>
        <w:t xml:space="preserve">State / Data Notes:</w:t>
      </w:r>
    </w:p>
    <w:p>
      <w:pPr>
        <w:pStyle w:val="ListParagraph"/>
        <w:numPr>
          <w:ilvl w:val="0"/>
          <w:numId w:val="2"/>
        </w:numPr>
        <w:spacing w:after="60"/>
      </w:pPr>
      <w:r>
        <w:t xml:space="preserve">State shape changes from a single object { segment, allocationPercent } to { segments: [{ name, allocationPercent }], dateOfJoining }.</w:t>
      </w:r>
    </w:p>
    <w:p>
      <w:pPr>
        <w:pStyle w:val="ListParagraph"/>
        <w:numPr>
          <w:ilvl w:val="0"/>
          <w:numId w:val="2"/>
        </w:numPr>
        <w:spacing w:after="60"/>
      </w:pPr>
      <w:r>
        <w:t xml:space="preserve">This is an API contract change — flag it to the backend team early since the payload structure moves from a single object to an array.</w:t>
      </w:r>
    </w:p>
    <w:p>
      <w:pPr>
        <w:spacing w:after="120"/>
      </w:pPr>
      <w:r>
        <w:rPr>
          <w:b/>
          <w:bCs/>
        </w:rPr>
        <w:t xml:space="preserve">Validation Rules:</w:t>
      </w:r>
    </w:p>
    <w:p>
      <w:pPr>
        <w:pStyle w:val="ListParagraph"/>
        <w:numPr>
          <w:ilvl w:val="0"/>
          <w:numId w:val="2"/>
        </w:numPr>
        <w:spacing w:after="60"/>
      </w:pPr>
      <w:r>
        <w:t xml:space="preserve">Zod refine() check ensuring the sum of allocationPercent across segments does not exceed 100.</w:t>
      </w:r>
    </w:p>
    <w:p>
      <w:pPr>
        <w:pBdr>
          <w:bottom w:val="single" w:color="10B981" w:sz="6" w:space="1"/>
        </w:pBdr>
        <w:spacing w:after="200" w:before="200"/>
      </w:pPr>
    </w:p>
    <w:p>
      <w:pPr>
        <w:pStyle w:val="Heading2"/>
      </w:pPr>
      <w:r>
        <w:t xml:space="preserve">CR-11 — Return on Investment — Client/Agent Dropdown + New Fields</w:t>
      </w:r>
    </w:p>
    <w:p>
      <w:pPr>
        <w:shd w:fill="ECFDF5" w:val="clear"/>
        <w:spacing w:after="100"/>
      </w:pPr>
      <w:r>
        <w:rPr>
          <w:b/>
          <w:bCs/>
          <w:color w:val="059669"/>
          <w:sz w:val="20"/>
          <w:szCs w:val="20"/>
        </w:rPr>
        <w:t xml:space="preserve">  Client Point Reference: Point 13  </w:t>
      </w:r>
    </w:p>
    <w:p>
      <w:pPr>
        <w:pStyle w:val="Heading3"/>
      </w:pPr>
      <w:r>
        <w:t xml:space="preserve">PRD — Product Requirement</w:t>
      </w:r>
    </w:p>
    <w:p>
      <w:pPr>
        <w:pStyle w:val="ListParagraph"/>
        <w:numPr>
          <w:ilvl w:val="0"/>
          <w:numId w:val="2"/>
        </w:numPr>
        <w:spacing w:after="60"/>
      </w:pPr>
      <w:r>
        <w:rPr>
          <w:b/>
          <w:bCs/>
        </w:rPr>
        <w:t xml:space="preserve">User Story: </w:t>
      </w:r>
      <w:r>
        <w:t xml:space="preserve">As a Super Admin, I want one unified ROI screen that adapts based on whether I am recording a payout for a Client or an Agent.</w:t>
      </w:r>
    </w:p>
    <w:p>
      <w:pPr>
        <w:spacing w:after="120"/>
      </w:pPr>
      <w:r>
        <w:rPr>
          <w:b/>
          <w:bCs/>
        </w:rPr>
        <w:t xml:space="preserve">Functional Requirements:</w:t>
      </w:r>
    </w:p>
    <w:p>
      <w:pPr>
        <w:pStyle w:val="ListParagraph"/>
        <w:numPr>
          <w:ilvl w:val="0"/>
          <w:numId w:val="2"/>
        </w:numPr>
        <w:spacing w:after="60"/>
      </w:pPr>
      <w:r>
        <w:t xml:space="preserve">Top dropdown: “Select Type” → Client / Agent.</w:t>
      </w:r>
    </w:p>
    <w:p>
      <w:pPr>
        <w:pStyle w:val="ListParagraph"/>
        <w:numPr>
          <w:ilvl w:val="0"/>
          <w:numId w:val="2"/>
        </w:numPr>
        <w:spacing w:after="60"/>
      </w:pPr>
      <w:r>
        <w:t xml:space="preserve">Selecting Client shows client ROI fields (Investment Amount, ROI Allocation %, Monthly Return, Date).</w:t>
      </w:r>
    </w:p>
    <w:p>
      <w:pPr>
        <w:pStyle w:val="ListParagraph"/>
        <w:numPr>
          <w:ilvl w:val="0"/>
          <w:numId w:val="2"/>
        </w:numPr>
        <w:spacing w:after="60"/>
      </w:pPr>
      <w:r>
        <w:t xml:space="preserve">Selecting Agent shows agent commission payout fields (Commission Type, Amount, related Client if applicable).</w:t>
      </w:r>
    </w:p>
    <w:p>
      <w:pPr>
        <w:pStyle w:val="ListParagraph"/>
        <w:numPr>
          <w:ilvl w:val="0"/>
          <w:numId w:val="2"/>
        </w:numPr>
        <w:spacing w:after="60"/>
      </w:pPr>
      <w:r>
        <w:t xml:space="preserve">New fields added to both flows: Amount Paid, Payment Mode (dropdown: Bank Transfer / UPI / Cheque / Other), Transaction Reference (text).</w:t>
      </w:r>
    </w:p>
    <w:p>
      <w:pPr>
        <w:spacing w:after="120"/>
      </w:pPr>
      <w:r>
        <w:rPr>
          <w:b/>
          <w:bCs/>
        </w:rPr>
        <w:t xml:space="preserve">Acceptance Criteria:</w:t>
      </w:r>
    </w:p>
    <w:p>
      <w:pPr>
        <w:pStyle w:val="ListParagraph"/>
        <w:numPr>
          <w:ilvl w:val="0"/>
          <w:numId w:val="2"/>
        </w:numPr>
        <w:spacing w:after="60"/>
      </w:pPr>
      <w:r>
        <w:t xml:space="preserve">Switching the dropdown clears fields specific to the other type — no stale data carryover.</w:t>
      </w:r>
    </w:p>
    <w:p>
      <w:pPr>
        <w:pStyle w:val="ListParagraph"/>
        <w:numPr>
          <w:ilvl w:val="0"/>
          <w:numId w:val="2"/>
        </w:numPr>
        <w:spacing w:after="60"/>
      </w:pPr>
      <w:r>
        <w:t xml:space="preserve">Transaction Reference is validated as unique; an inline error appears if a duplicate is detected.</w:t>
      </w:r>
    </w:p>
    <w:p>
      <w:pPr>
        <w:pStyle w:val="ListParagraph"/>
        <w:numPr>
          <w:ilvl w:val="0"/>
          <w:numId w:val="2"/>
        </w:numPr>
        <w:spacing w:after="60"/>
      </w:pPr>
      <w:r>
        <w:t xml:space="preserve">Payment Mode is mandatory before submission.</w:t>
      </w:r>
    </w:p>
    <w:p>
      <w:pPr>
        <w:pStyle w:val="Heading3"/>
      </w:pPr>
      <w:r>
        <w:t xml:space="preserve">TRD — Technical Requirement (Frontend)</w:t>
      </w:r>
    </w:p>
    <w:p>
      <w:pPr>
        <w:spacing w:after="120"/>
      </w:pPr>
      <w:r>
        <w:rPr>
          <w:b/>
          <w:bCs/>
        </w:rPr>
        <w:t xml:space="preserve">Component-Level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9D6CF" w:sz="1"/>
              <w:left w:val="single" w:color="C9D6CF" w:sz="1"/>
              <w:bottom w:val="single" w:color="C9D6CF" w:sz="1"/>
              <w:right w:val="single" w:color="C9D6CF" w:sz="1"/>
            </w:tcBorders>
            <w:shd w:fill="061D13" w:val="clear"/>
            <w:tcMar>
              <w:top w:type="dxa" w:w="80"/>
              <w:left w:type="dxa" w:w="120"/>
              <w:bottom w:type="dxa" w:w="80"/>
              <w:right w:type="dxa" w:w="120"/>
            </w:tcMar>
            <w:vAlign w:val="center"/>
          </w:tcPr>
          <w:p>
            <w:r>
              <w:rPr>
                <w:b/>
                <w:bCs/>
                <w:color w:val="FFFFFF"/>
                <w:sz w:val="20"/>
                <w:szCs w:val="20"/>
              </w:rPr>
              <w:t xml:space="preserve">Component</w:t>
            </w:r>
          </w:p>
        </w:tc>
        <w:tc>
          <w:tcPr>
            <w:tcW w:type="dxa" w:w="6160"/>
            <w:tcBorders>
              <w:top w:val="single" w:color="C9D6CF" w:sz="1"/>
              <w:left w:val="single" w:color="C9D6CF" w:sz="1"/>
              <w:bottom w:val="single" w:color="C9D6CF" w:sz="1"/>
              <w:right w:val="single" w:color="C9D6CF" w:sz="1"/>
            </w:tcBorders>
            <w:shd w:fill="061D13" w:val="clear"/>
            <w:tcMar>
              <w:top w:type="dxa" w:w="80"/>
              <w:left w:type="dxa" w:w="120"/>
              <w:bottom w:type="dxa" w:w="80"/>
              <w:right w:type="dxa" w:w="120"/>
            </w:tcMar>
            <w:vAlign w:val="center"/>
          </w:tcPr>
          <w:p>
            <w:r>
              <w:rPr>
                <w:b/>
                <w:bCs/>
                <w:color w:val="FFFFFF"/>
                <w:sz w:val="20"/>
                <w:szCs w:val="20"/>
              </w:rPr>
              <w:t xml:space="preserve">Change</w:t>
            </w:r>
          </w:p>
        </w:tc>
      </w:tr>
      <w:tr>
        <w:tc>
          <w:tcPr>
            <w:tcW w:type="dxa" w:w="320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ROIManagementForm.jsx</w:t>
            </w:r>
          </w:p>
        </w:tc>
        <w:tc>
          <w:tcPr>
            <w:tcW w:type="dxa" w:w="6160"/>
            <w:tcBorders>
              <w:top w:val="single" w:color="C9D6CF" w:sz="1"/>
              <w:left w:val="single" w:color="C9D6CF" w:sz="1"/>
              <w:bottom w:val="single" w:color="C9D6CF" w:sz="1"/>
              <w:right w:val="single" w:color="C9D6CF" w:sz="1"/>
            </w:tcBorders>
            <w:shd w:fill="FFFFFF" w:val="clear"/>
            <w:tcMar>
              <w:top w:type="dxa" w:w="70"/>
              <w:left w:type="dxa" w:w="120"/>
              <w:bottom w:type="dxa" w:w="70"/>
              <w:right w:type="dxa" w:w="120"/>
            </w:tcMar>
            <w:vAlign w:val="center"/>
          </w:tcPr>
          <w:p>
            <w:r>
              <w:rPr>
                <w:color w:val="11221A"/>
                <w:sz w:val="20"/>
                <w:szCs w:val="20"/>
              </w:rPr>
              <w:t xml:space="preserve">Top-level state recipientType: 'client' | 'agent' with conditional field rendering</w:t>
            </w:r>
          </w:p>
        </w:tc>
      </w:tr>
      <w:tr>
        <w:tc>
          <w:tcPr>
            <w:tcW w:type="dxa" w:w="320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PaymentDetailsFields.jsx (new, shared)</w:t>
            </w:r>
          </w:p>
        </w:tc>
        <w:tc>
          <w:tcPr>
            <w:tcW w:type="dxa" w:w="6160"/>
            <w:tcBorders>
              <w:top w:val="single" w:color="C9D6CF" w:sz="1"/>
              <w:left w:val="single" w:color="C9D6CF" w:sz="1"/>
              <w:bottom w:val="single" w:color="C9D6CF" w:sz="1"/>
              <w:right w:val="single" w:color="C9D6CF" w:sz="1"/>
            </w:tcBorders>
            <w:shd w:fill="E5ECE8" w:val="clear"/>
            <w:tcMar>
              <w:top w:type="dxa" w:w="70"/>
              <w:left w:type="dxa" w:w="120"/>
              <w:bottom w:type="dxa" w:w="70"/>
              <w:right w:type="dxa" w:w="120"/>
            </w:tcMar>
            <w:vAlign w:val="center"/>
          </w:tcPr>
          <w:p>
            <w:r>
              <w:rPr>
                <w:color w:val="11221A"/>
                <w:sz w:val="20"/>
                <w:szCs w:val="20"/>
              </w:rPr>
              <w:t xml:space="preserve">Amount Paid, Payment Mode, Transaction Ref — reused in both branches</w:t>
            </w:r>
          </w:p>
        </w:tc>
      </w:tr>
    </w:tbl>
    <w:p>
      <w:pPr>
        <w:spacing w:after="120"/>
      </w:pPr>
      <w:r>
        <w:t xml:space="preserve"/>
      </w:r>
    </w:p>
    <w:p>
      <w:pPr>
        <w:spacing w:after="120"/>
      </w:pPr>
      <w:r>
        <w:rPr>
          <w:b/>
          <w:bCs/>
        </w:rPr>
        <w:t xml:space="preserve">API Contract (assumed — confirm with backend):</w:t>
      </w:r>
    </w:p>
    <w:p>
      <w:pPr>
        <w:pBdr>
          <w:top w:val="single" w:color="C9D6CF" w:sz="4"/>
          <w:bottom w:val="single" w:color="C9D6CF" w:sz="4"/>
        </w:pBdr>
        <w:shd w:fill="F3F7F5" w:val="clear"/>
        <w:spacing w:after="160" w:before="80"/>
      </w:pPr>
      <w:r>
        <w:rPr>
          <w:rFonts w:ascii="Consolas" w:cs="Consolas" w:eastAsia="Consolas" w:hAnsi="Consolas"/>
          <w:color w:val="1F3B2C"/>
          <w:sz w:val="18"/>
          <w:szCs w:val="18"/>
        </w:rPr>
        <w:t xml:space="preserve">POST /api/admin/roi-entries</w:t>
      </w:r>
      <w:r>
        <w:br/>
        <w:t xml:space="preserve"/>
      </w:r>
      <w:r>
        <w:rPr>
          <w:rFonts w:ascii="Consolas" w:cs="Consolas" w:eastAsia="Consolas" w:hAnsi="Consolas"/>
          <w:color w:val="1F3B2C"/>
          <w:sz w:val="18"/>
          <w:szCs w:val="18"/>
        </w:rPr>
        <w:t xml:space="preserve">Body (client): { recipientType: 'client', clientId, investmentAmount, roiPercent, monthlyReturn, amountPaid, paymentMode, transactionRef, date }</w:t>
      </w:r>
      <w:r>
        <w:br/>
        <w:t xml:space="preserve"/>
      </w:r>
      <w:r>
        <w:rPr>
          <w:rFonts w:ascii="Consolas" w:cs="Consolas" w:eastAsia="Consolas" w:hAnsi="Consolas"/>
          <w:color w:val="1F3B2C"/>
          <w:sz w:val="18"/>
          <w:szCs w:val="18"/>
        </w:rPr>
        <w:t xml:space="preserve">Body (agent): { recipientType: 'agent', agentId, commissionType, amountPaid, paymentMode, transactionRef, date }</w:t>
      </w:r>
      <w:r>
        <w:br/>
        <w:t xml:space="preserve"/>
      </w:r>
      <w:r>
        <w:rPr>
          <w:rFonts w:ascii="Consolas" w:cs="Consolas" w:eastAsia="Consolas" w:hAnsi="Consolas"/>
          <w:color w:val="1F3B2C"/>
          <w:sz w:val="18"/>
          <w:szCs w:val="18"/>
        </w:rPr>
        <w:t xml:space="preserve"> </w:t>
      </w:r>
      <w:r>
        <w:br/>
        <w:t xml:space="preserve"/>
      </w:r>
      <w:r>
        <w:rPr>
          <w:rFonts w:ascii="Consolas" w:cs="Consolas" w:eastAsia="Consolas" w:hAnsi="Consolas"/>
          <w:color w:val="1F3B2C"/>
          <w:sz w:val="18"/>
          <w:szCs w:val="18"/>
        </w:rPr>
        <w:t xml:space="preserve">GET /api/admin/roi-entries/check-ref?ref=xxx   (duplicate check)</w:t>
      </w:r>
    </w:p>
    <w:p>
      <w:pPr>
        <w:spacing w:after="120"/>
      </w:pPr>
      <w:r>
        <w:rPr>
          <w:b/>
          <w:bCs/>
        </w:rPr>
        <w:t xml:space="preserve">Validation Rules:</w:t>
      </w:r>
    </w:p>
    <w:p>
      <w:pPr>
        <w:pStyle w:val="ListParagraph"/>
        <w:numPr>
          <w:ilvl w:val="0"/>
          <w:numId w:val="2"/>
        </w:numPr>
        <w:spacing w:after="60"/>
      </w:pPr>
      <w:r>
        <w:t xml:space="preserve">Discriminated union schema (Zod discriminatedUnion on recipientType) keeps validation logic clean for the two branches.</w:t>
      </w:r>
    </w:p>
    <w:p>
      <w:pPr>
        <w:pStyle w:val="ListParagraph"/>
        <w:numPr>
          <w:ilvl w:val="0"/>
          <w:numId w:val="2"/>
        </w:numPr>
        <w:spacing w:after="60"/>
      </w:pPr>
      <w:r>
        <w:t xml:space="preserve">Debounce-validate transactionRef against the check-ref endpoint on field blur.</w:t>
      </w:r>
    </w:p>
    <w:p>
      <w:pPr>
        <w:pBdr>
          <w:bottom w:val="single" w:color="10B981" w:sz="6" w:space="1"/>
        </w:pBdr>
        <w:spacing w:after="200" w:before="200"/>
      </w:pPr>
    </w:p>
    <w:p>
      <w:pPr>
        <w:pStyle w:val="Heading1"/>
      </w:pPr>
      <w:r>
        <w:t xml:space="preserve">4. Cross-Cutting Notes</w:t>
      </w:r>
    </w:p>
    <w:p>
      <w:pPr>
        <w:spacing w:after="120"/>
      </w:pPr>
      <w:r>
        <w:rPr>
          <w:b/>
          <w:bCs/>
        </w:rPr>
        <w:t xml:space="preserve">Theme Consistency:</w:t>
      </w:r>
    </w:p>
    <w:p>
      <w:pPr>
        <w:pStyle w:val="ListParagraph"/>
        <w:numPr>
          <w:ilvl w:val="0"/>
          <w:numId w:val="2"/>
        </w:numPr>
        <w:spacing w:after="60"/>
      </w:pPr>
      <w:r>
        <w:t xml:space="preserve">All new components use the existing design tokens — Deep Forest Green (#061D13) for headers/navigation, Vibrant Emerald (#10B981) for primary actions/links/badges, Soft Mint (#ECFDF5) for badge backgrounds.</w:t>
      </w:r>
    </w:p>
    <w:p>
      <w:pPr>
        <w:pStyle w:val="ListParagraph"/>
        <w:numPr>
          <w:ilvl w:val="0"/>
          <w:numId w:val="2"/>
        </w:numPr>
        <w:spacing w:after="60"/>
      </w:pPr>
      <w:r>
        <w:t xml:space="preserve">Typography stays consistent with already-built Super Admin and Client Portal documents: Inter / Plus Jakarta Sans for UI text.</w:t>
      </w:r>
    </w:p>
    <w:p>
      <w:pPr>
        <w:spacing w:after="120"/>
      </w:pPr>
      <w:r>
        <w:rPr>
          <w:b/>
          <w:bCs/>
        </w:rPr>
        <w:t xml:space="preserve">Reusable Components Introduced:</w:t>
      </w:r>
    </w:p>
    <w:p>
      <w:pPr>
        <w:pStyle w:val="ListParagraph"/>
        <w:numPr>
          <w:ilvl w:val="0"/>
          <w:numId w:val="2"/>
        </w:numPr>
        <w:spacing w:after="60"/>
      </w:pPr>
      <w:r>
        <w:t xml:space="preserve">StatusBadge, PerkBadge, RiskProfileBadge, AgentTag, PaymentDetailsFields — build these once and reuse across modules to avoid duplication.</w:t>
      </w:r>
    </w:p>
    <w:p>
      <w:pPr>
        <w:spacing w:after="120"/>
      </w:pPr>
      <w:r>
        <w:rPr>
          <w:b/>
          <w:bCs/>
        </w:rPr>
        <w:t xml:space="preserve">Comment Standard:</w:t>
      </w:r>
    </w:p>
    <w:p>
      <w:pPr>
        <w:pStyle w:val="ListParagraph"/>
        <w:numPr>
          <w:ilvl w:val="0"/>
          <w:numId w:val="2"/>
        </w:numPr>
        <w:spacing w:after="60"/>
      </w:pPr>
      <w:r>
        <w:t xml:space="preserve">Every new file/component follows the existing convention — a start and end comment block stating the component's purpose, props, and last-modified context.</w:t>
      </w:r>
    </w:p>
    <w:p>
      <w:pPr>
        <w:pStyle w:val="Heading1"/>
      </w:pPr>
      <w:r>
        <w:t xml:space="preserve">5. Pending Inputs Needed From Client</w:t>
      </w:r>
    </w:p>
    <w:p>
      <w:pPr>
        <w:spacing w:after="120"/>
      </w:pPr>
      <w:r>
        <w:t xml:space="preserve">The following items are blocking full implementation and must be received before final build:</w:t>
      </w:r>
    </w:p>
    <w:p>
      <w:pPr>
        <w:pStyle w:val="ListParagraph"/>
        <w:numPr>
          <w:ilvl w:val="0"/>
          <w:numId w:val="3"/>
        </w:numPr>
        <w:spacing w:after="60"/>
      </w:pPr>
      <w:r>
        <w:t xml:space="preserve">Exact one-time and monthly commission slab values.</w:t>
      </w:r>
    </w:p>
    <w:p>
      <w:pPr>
        <w:pStyle w:val="ListParagraph"/>
        <w:numPr>
          <w:ilvl w:val="0"/>
          <w:numId w:val="3"/>
        </w:numPr>
        <w:spacing w:after="60"/>
      </w:pPr>
      <w:r>
        <w:t xml:space="preserve">Reward catalog with targets.</w:t>
      </w:r>
    </w:p>
    <w:p>
      <w:pPr>
        <w:pStyle w:val="ListParagraph"/>
        <w:numPr>
          <w:ilvl w:val="0"/>
          <w:numId w:val="3"/>
        </w:numPr>
        <w:spacing w:after="60"/>
      </w:pPr>
      <w:r>
        <w:t xml:space="preserve">Risk profiling category list and the preferred color/display convention.</w:t>
      </w:r>
    </w:p>
    <w:p>
      <w:pPr>
        <w:pStyle w:val="ListParagraph"/>
        <w:numPr>
          <w:ilvl w:val="0"/>
          <w:numId w:val="3"/>
        </w:numPr>
        <w:spacing w:after="60"/>
      </w:pPr>
      <w:r>
        <w:t xml:space="preserve">Whether multi-segment allocation must total exactly 100% or can be partial.</w:t>
      </w:r>
    </w:p>
    <w:p>
      <w:pPr>
        <w:pStyle w:val="ListParagraph"/>
        <w:numPr>
          <w:ilvl w:val="0"/>
          <w:numId w:val="3"/>
        </w:numPr>
        <w:spacing w:after="60"/>
      </w:pPr>
      <w:r>
        <w:t xml:space="preserve">Whether slab changes apply retroactively or only going forward.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D7E75"/>
        <w:sz w:val="16"/>
        <w:szCs w:val="16"/>
      </w:rPr>
      <w:t xml:space="preserve">Page </w:t>
    </w:r>
    <w:r>
      <w:rPr>
        <w:color w:val="6D7E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6D7E75"/>
        <w:sz w:val="16"/>
        <w:szCs w:val="16"/>
      </w:rPr>
      <w:t xml:space="preserve">KFPL — Super Admin Change Request</w:t>
    </w:r>
    <w:r>
      <w:rPr>
        <w:color w:val="6D7E75"/>
        <w:sz w:val="16"/>
        <w:szCs w:val="16"/>
      </w:rPr>
      <w:t xml:space="preserve">	PRD + TRD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22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0B981" w:sz="8" w:space="4"/>
      </w:pBdr>
      <w:spacing w:after="200" w:before="320"/>
      <w:outlineLvl w:val="0"/>
    </w:pPr>
    <w:rPr>
      <w:rFonts w:ascii="Arial" w:cs="Arial" w:eastAsia="Arial" w:hAnsi="Arial"/>
      <w:b/>
      <w:bCs/>
      <w:color w:val="061D13"/>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61D13"/>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0596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2026-06-17T09:58:30.329Z</dcterms:created>
  <dcterms:modified xsi:type="dcterms:W3CDTF">2026-06-17T09:58:30.329Z</dcterms:modified>
</cp:coreProperties>
</file>

<file path=docProps/custom.xml><?xml version="1.0" encoding="utf-8"?>
<Properties xmlns="http://schemas.openxmlformats.org/officeDocument/2006/custom-properties" xmlns:vt="http://schemas.openxmlformats.org/officeDocument/2006/docPropsVTypes"/>
</file>