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3B82D4"/>
          <w:sz w:val="56"/>
        </w:rPr>
        <w:t>E-Commerce Sales Analytics</w:t>
      </w:r>
    </w:p>
    <w:p/>
    <w:p>
      <w:pPr>
        <w:jc w:val="center"/>
      </w:pPr>
      <w:r>
        <w:rPr>
          <w:b/>
          <w:color w:val="1F2328"/>
          <w:sz w:val="36"/>
        </w:rPr>
        <w:t>Project Report</w:t>
      </w:r>
    </w:p>
    <w:p/>
    <w:p>
      <w:pPr>
        <w:jc w:val="center"/>
      </w:pPr>
      <w:r>
        <w:rPr>
          <w:b w:val="0"/>
          <w:color w:val="57606A"/>
          <w:sz w:val="26"/>
        </w:rPr>
        <w:t>Author: Kriti Jain</w:t>
      </w:r>
    </w:p>
    <w:p>
      <w:pPr>
        <w:jc w:val="center"/>
      </w:pPr>
      <w:r>
        <w:rPr>
          <w:b w:val="0"/>
          <w:color w:val="57606A"/>
          <w:sz w:val="22"/>
        </w:rPr>
        <w:t>Dataset: E-Commerce Sales and Customer Analytics</w:t>
      </w:r>
    </w:p>
    <w:p>
      <w:pPr>
        <w:jc w:val="center"/>
      </w:pPr>
      <w:r>
        <w:rPr>
          <w:b w:val="0"/>
          <w:color w:val="57606A"/>
          <w:sz w:val="20"/>
        </w:rPr>
        <w:t>Source: https://www.kaggle.com/datasets/datascikhan/e-commerce-sales-and-customer-analytics</w:t>
      </w:r>
    </w:p>
    <w:p>
      <w:pPr>
        <w:jc w:val="center"/>
      </w:pPr>
      <w:r>
        <w:rPr>
          <w:b w:val="0"/>
          <w:color w:val="57606A"/>
          <w:sz w:val="22"/>
        </w:rPr>
        <w:t>Date Range: January 2021 – December 2025</w:t>
      </w:r>
    </w:p>
    <w:p/>
    <w:p>
      <w:r>
        <w:br w:type="page"/>
      </w:r>
    </w:p>
    <w:p>
      <w:pPr>
        <w:pStyle w:val="Heading1"/>
        <w:jc w:val="left"/>
      </w:pPr>
      <w:r>
        <w:rPr>
          <w:color w:val="1F2328"/>
        </w:rPr>
        <w:t>Table of Contents</w:t>
      </w:r>
    </w:p>
    <w:p>
      <w:r>
        <w:rPr>
          <w:sz w:val="22"/>
        </w:rPr>
        <w:t>1.  Executive Summary</w:t>
      </w:r>
    </w:p>
    <w:p>
      <w:r>
        <w:rPr>
          <w:sz w:val="22"/>
        </w:rPr>
        <w:t>2.  Dataset Overview</w:t>
      </w:r>
    </w:p>
    <w:p>
      <w:r>
        <w:rPr>
          <w:sz w:val="22"/>
        </w:rPr>
        <w:t>3.  Key Performance Indicators</w:t>
      </w:r>
    </w:p>
    <w:p>
      <w:r>
        <w:rPr>
          <w:sz w:val="22"/>
        </w:rPr>
        <w:t>4.  Revenue &amp; Profit Analysis</w:t>
      </w:r>
    </w:p>
    <w:p>
      <w:r>
        <w:rPr>
          <w:sz w:val="22"/>
        </w:rPr>
        <w:t>5.  Sales Channel &amp; Regional Analysis</w:t>
      </w:r>
    </w:p>
    <w:p>
      <w:r>
        <w:rPr>
          <w:sz w:val="22"/>
        </w:rPr>
        <w:t>6.  Product &amp; Brand Performance</w:t>
      </w:r>
    </w:p>
    <w:p>
      <w:r>
        <w:rPr>
          <w:sz w:val="22"/>
        </w:rPr>
        <w:t>7.  Customer Analytics</w:t>
      </w:r>
    </w:p>
    <w:p>
      <w:r>
        <w:rPr>
          <w:sz w:val="22"/>
        </w:rPr>
        <w:t>8.  Operational Insights</w:t>
      </w:r>
    </w:p>
    <w:p>
      <w:r>
        <w:rPr>
          <w:sz w:val="22"/>
        </w:rPr>
        <w:t>9.  RFM Customer Segmentation</w:t>
      </w:r>
    </w:p>
    <w:p>
      <w:r>
        <w:rPr>
          <w:sz w:val="22"/>
        </w:rPr>
        <w:t>10.  Correlation Analysis</w:t>
      </w:r>
    </w:p>
    <w:p>
      <w:r>
        <w:rPr>
          <w:sz w:val="22"/>
        </w:rPr>
        <w:t>11.  Conclusions &amp; Recommendations</w:t>
      </w:r>
    </w:p>
    <w:p>
      <w:r>
        <w:br w:type="page"/>
      </w:r>
    </w:p>
    <w:p>
      <w:pPr>
        <w:pStyle w:val="Heading1"/>
        <w:jc w:val="left"/>
      </w:pPr>
      <w:r>
        <w:rPr>
          <w:color w:val="3B82D4"/>
        </w:rPr>
        <w:t>1. Executive Summary</w:t>
      </w:r>
    </w:p>
    <w:p>
      <w:pPr>
        <w:jc w:val="left"/>
      </w:pPr>
      <w:r>
        <w:rPr>
          <w:b w:val="0"/>
          <w:color w:val="1F2328"/>
          <w:sz w:val="22"/>
        </w:rPr>
        <w:t>This report presents a comprehensive data analytics study of an e-commerce platform covering 138,116 transactions across five years (2021–2025). The analysis spans revenue trends, profitability, customer segmentation, product performance, marketing effectiveness, and delivery operations. All findings are derived directly from the dataset files without synthetic data. The report is designed to support strategic decisions by the business and operations teams.</w:t>
      </w:r>
    </w:p>
    <w:p/>
    <w:p>
      <w:pPr>
        <w:pStyle w:val="Heading1"/>
        <w:jc w:val="left"/>
      </w:pPr>
      <w:r>
        <w:rPr>
          <w:color w:val="3B82D4"/>
        </w:rPr>
        <w:t>2. Dataset Overview</w:t>
      </w:r>
    </w:p>
    <w:p>
      <w:pPr>
        <w:jc w:val="left"/>
      </w:pPr>
      <w:r>
        <w:rPr>
          <w:b w:val="0"/>
          <w:color w:val="1F2328"/>
          <w:sz w:val="22"/>
        </w:rPr>
        <w:t>The dataset comprises four interlinked files providing a 360-degree view of the e-commerce operation:</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b82d4"/>
          </w:tcPr>
          <w:p>
            <w:pPr>
              <w:jc w:val="center"/>
            </w:pPr>
            <w:r>
              <w:rPr>
                <w:b/>
                <w:color w:val="FFFFFF"/>
                <w:sz w:val="18"/>
              </w:rPr>
              <w:t>File</w:t>
            </w:r>
          </w:p>
        </w:tc>
        <w:tc>
          <w:tcPr>
            <w:tcW w:type="dxa" w:w="3024"/>
            <w:shd w:val="clear" w:color="auto" w:fill="3b82d4"/>
          </w:tcPr>
          <w:p>
            <w:pPr>
              <w:jc w:val="center"/>
            </w:pPr>
            <w:r>
              <w:rPr>
                <w:b/>
                <w:color w:val="FFFFFF"/>
                <w:sz w:val="18"/>
              </w:rPr>
              <w:t>Rows</w:t>
            </w:r>
          </w:p>
        </w:tc>
        <w:tc>
          <w:tcPr>
            <w:tcW w:type="dxa" w:w="3024"/>
            <w:shd w:val="clear" w:color="auto" w:fill="3b82d4"/>
          </w:tcPr>
          <w:p>
            <w:pPr>
              <w:jc w:val="center"/>
            </w:pPr>
            <w:r>
              <w:rPr>
                <w:b/>
                <w:color w:val="FFFFFF"/>
                <w:sz w:val="18"/>
              </w:rPr>
              <w:t>Key Columns</w:t>
            </w:r>
          </w:p>
        </w:tc>
      </w:tr>
      <w:tr>
        <w:tc>
          <w:tcPr>
            <w:tcW w:type="dxa" w:w="3024"/>
            <w:shd w:val="clear" w:color="auto" w:fill="FFFFFF"/>
          </w:tcPr>
          <w:p>
            <w:pPr>
              <w:jc w:val="center"/>
            </w:pPr>
            <w:r>
              <w:rPr>
                <w:sz w:val="18"/>
              </w:rPr>
              <w:t>ecommerce_sales_customer_analytics_150k.csv</w:t>
            </w:r>
          </w:p>
        </w:tc>
        <w:tc>
          <w:tcPr>
            <w:tcW w:type="dxa" w:w="3024"/>
            <w:shd w:val="clear" w:color="auto" w:fill="FFFFFF"/>
          </w:tcPr>
          <w:p>
            <w:pPr>
              <w:jc w:val="center"/>
            </w:pPr>
            <w:r>
              <w:rPr>
                <w:sz w:val="18"/>
              </w:rPr>
              <w:t>138,116</w:t>
            </w:r>
          </w:p>
        </w:tc>
        <w:tc>
          <w:tcPr>
            <w:tcW w:type="dxa" w:w="3024"/>
            <w:shd w:val="clear" w:color="auto" w:fill="FFFFFF"/>
          </w:tcPr>
          <w:p>
            <w:pPr>
              <w:jc w:val="center"/>
            </w:pPr>
            <w:r>
              <w:rPr>
                <w:sz w:val="18"/>
              </w:rPr>
              <w:t>order_id, order_date, customer_id, net_sales, profit, region, …</w:t>
            </w:r>
          </w:p>
        </w:tc>
      </w:tr>
      <w:tr>
        <w:tc>
          <w:tcPr>
            <w:tcW w:type="dxa" w:w="3024"/>
            <w:shd w:val="clear" w:color="auto" w:fill="F7F8FA"/>
          </w:tcPr>
          <w:p>
            <w:pPr>
              <w:jc w:val="center"/>
            </w:pPr>
            <w:r>
              <w:rPr>
                <w:sz w:val="18"/>
              </w:rPr>
              <w:t>customer_master.csv</w:t>
            </w:r>
          </w:p>
        </w:tc>
        <w:tc>
          <w:tcPr>
            <w:tcW w:type="dxa" w:w="3024"/>
            <w:shd w:val="clear" w:color="auto" w:fill="F7F8FA"/>
          </w:tcPr>
          <w:p>
            <w:pPr>
              <w:jc w:val="center"/>
            </w:pPr>
            <w:r>
              <w:rPr>
                <w:sz w:val="18"/>
              </w:rPr>
              <w:t>24,911</w:t>
            </w:r>
          </w:p>
        </w:tc>
        <w:tc>
          <w:tcPr>
            <w:tcW w:type="dxa" w:w="3024"/>
            <w:shd w:val="clear" w:color="auto" w:fill="F7F8FA"/>
          </w:tcPr>
          <w:p>
            <w:pPr>
              <w:jc w:val="center"/>
            </w:pPr>
            <w:r>
              <w:rPr>
                <w:sz w:val="18"/>
              </w:rPr>
              <w:t>customer_id, customer_segment, customer_acquisition_cost, …</w:t>
            </w:r>
          </w:p>
        </w:tc>
      </w:tr>
      <w:tr>
        <w:tc>
          <w:tcPr>
            <w:tcW w:type="dxa" w:w="3024"/>
            <w:shd w:val="clear" w:color="auto" w:fill="FFFFFF"/>
          </w:tcPr>
          <w:p>
            <w:pPr>
              <w:jc w:val="center"/>
            </w:pPr>
            <w:r>
              <w:rPr>
                <w:sz w:val="18"/>
              </w:rPr>
              <w:t>order_items.csv</w:t>
            </w:r>
          </w:p>
        </w:tc>
        <w:tc>
          <w:tcPr>
            <w:tcW w:type="dxa" w:w="3024"/>
            <w:shd w:val="clear" w:color="auto" w:fill="FFFFFF"/>
          </w:tcPr>
          <w:p>
            <w:pPr>
              <w:jc w:val="center"/>
            </w:pPr>
            <w:r>
              <w:rPr>
                <w:sz w:val="18"/>
              </w:rPr>
              <w:t>~276K+</w:t>
            </w:r>
          </w:p>
        </w:tc>
        <w:tc>
          <w:tcPr>
            <w:tcW w:type="dxa" w:w="3024"/>
            <w:shd w:val="clear" w:color="auto" w:fill="FFFFFF"/>
          </w:tcPr>
          <w:p>
            <w:pPr>
              <w:jc w:val="center"/>
            </w:pPr>
            <w:r>
              <w:rPr>
                <w:sz w:val="18"/>
              </w:rPr>
              <w:t>order_id, product_id, quantity, unit_price, net_sales, profit</w:t>
            </w:r>
          </w:p>
        </w:tc>
      </w:tr>
      <w:tr>
        <w:tc>
          <w:tcPr>
            <w:tcW w:type="dxa" w:w="3024"/>
            <w:shd w:val="clear" w:color="auto" w:fill="F7F8FA"/>
          </w:tcPr>
          <w:p>
            <w:pPr>
              <w:jc w:val="center"/>
            </w:pPr>
            <w:r>
              <w:rPr>
                <w:sz w:val="18"/>
              </w:rPr>
              <w:t>product_catalog.csv</w:t>
            </w:r>
          </w:p>
        </w:tc>
        <w:tc>
          <w:tcPr>
            <w:tcW w:type="dxa" w:w="3024"/>
            <w:shd w:val="clear" w:color="auto" w:fill="F7F8FA"/>
          </w:tcPr>
          <w:p>
            <w:pPr>
              <w:jc w:val="center"/>
            </w:pPr>
            <w:r>
              <w:rPr>
                <w:sz w:val="18"/>
              </w:rPr>
              <w:t>Multiple</w:t>
            </w:r>
          </w:p>
        </w:tc>
        <w:tc>
          <w:tcPr>
            <w:tcW w:type="dxa" w:w="3024"/>
            <w:shd w:val="clear" w:color="auto" w:fill="F7F8FA"/>
          </w:tcPr>
          <w:p>
            <w:pPr>
              <w:jc w:val="center"/>
            </w:pPr>
            <w:r>
              <w:rPr>
                <w:sz w:val="18"/>
              </w:rPr>
              <w:t>product_id, product_category, brand, unit_price, product_cost</w:t>
            </w:r>
          </w:p>
        </w:tc>
      </w:tr>
    </w:tbl>
    <w:p/>
    <w:p>
      <w:r>
        <w:br w:type="page"/>
      </w:r>
    </w:p>
    <w:p>
      <w:pPr>
        <w:pStyle w:val="Heading1"/>
        <w:jc w:val="left"/>
      </w:pPr>
      <w:r>
        <w:rPr>
          <w:color w:val="3B82D4"/>
        </w:rPr>
        <w:t>3. Key Performance Indicators</w:t>
      </w:r>
    </w:p>
    <w:p>
      <w:pPr>
        <w:jc w:val="left"/>
      </w:pPr>
      <w:r>
        <w:rPr>
          <w:b w:val="0"/>
          <w:color w:val="1F2328"/>
          <w:sz w:val="22"/>
        </w:rPr>
        <w:t>The following headline KPIs are derived directly from the dataset:</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F0F4FF"/>
          </w:tcPr>
          <w:p>
            <w:pPr>
              <w:jc w:val="center"/>
            </w:pPr>
            <w:r>
              <w:rPr>
                <w:b/>
                <w:color w:val="3B82D4"/>
                <w:sz w:val="28"/>
              </w:rPr>
              <w:t>$177,134,264</w:t>
              <w:br/>
            </w:r>
            <w:r>
              <w:rPr>
                <w:color w:val="57606A"/>
                <w:sz w:val="18"/>
              </w:rPr>
              <w:t>Total Revenue</w:t>
            </w:r>
          </w:p>
        </w:tc>
        <w:tc>
          <w:tcPr>
            <w:tcW w:type="dxa" w:w="3024"/>
            <w:shd w:val="clear" w:color="auto" w:fill="F0F4FF"/>
          </w:tcPr>
          <w:p>
            <w:pPr>
              <w:jc w:val="center"/>
            </w:pPr>
            <w:r>
              <w:rPr>
                <w:b/>
                <w:color w:val="3B82D4"/>
                <w:sz w:val="28"/>
              </w:rPr>
              <w:t>$76,146,396</w:t>
              <w:br/>
            </w:r>
            <w:r>
              <w:rPr>
                <w:color w:val="57606A"/>
                <w:sz w:val="18"/>
              </w:rPr>
              <w:t>Total Profit</w:t>
            </w:r>
          </w:p>
        </w:tc>
        <w:tc>
          <w:tcPr>
            <w:tcW w:type="dxa" w:w="3024"/>
            <w:shd w:val="clear" w:color="auto" w:fill="F0F4FF"/>
          </w:tcPr>
          <w:p>
            <w:pPr>
              <w:jc w:val="center"/>
            </w:pPr>
            <w:r>
              <w:rPr>
                <w:b/>
                <w:color w:val="3B82D4"/>
                <w:sz w:val="28"/>
              </w:rPr>
              <w:t>42.99%</w:t>
              <w:br/>
            </w:r>
            <w:r>
              <w:rPr>
                <w:color w:val="57606A"/>
                <w:sz w:val="18"/>
              </w:rPr>
              <w:t>Overall Profit Margin</w:t>
            </w:r>
          </w:p>
        </w:tc>
      </w:tr>
      <w:tr>
        <w:tc>
          <w:tcPr>
            <w:tcW w:type="dxa" w:w="3024"/>
            <w:shd w:val="clear" w:color="auto" w:fill="F0F4FF"/>
          </w:tcPr>
          <w:p>
            <w:pPr>
              <w:jc w:val="center"/>
            </w:pPr>
            <w:r>
              <w:rPr>
                <w:b/>
                <w:color w:val="3B82D4"/>
                <w:sz w:val="28"/>
              </w:rPr>
              <w:t>138,116</w:t>
              <w:br/>
            </w:r>
            <w:r>
              <w:rPr>
                <w:color w:val="57606A"/>
                <w:sz w:val="18"/>
              </w:rPr>
              <w:t>Total Orders</w:t>
            </w:r>
          </w:p>
        </w:tc>
        <w:tc>
          <w:tcPr>
            <w:tcW w:type="dxa" w:w="3024"/>
            <w:shd w:val="clear" w:color="auto" w:fill="F0F4FF"/>
          </w:tcPr>
          <w:p>
            <w:pPr>
              <w:jc w:val="center"/>
            </w:pPr>
            <w:r>
              <w:rPr>
                <w:b/>
                <w:color w:val="3B82D4"/>
                <w:sz w:val="28"/>
              </w:rPr>
              <w:t>$1,282.50</w:t>
              <w:br/>
            </w:r>
            <w:r>
              <w:rPr>
                <w:color w:val="57606A"/>
                <w:sz w:val="18"/>
              </w:rPr>
              <w:t>Avg Order Value</w:t>
            </w:r>
          </w:p>
        </w:tc>
        <w:tc>
          <w:tcPr>
            <w:tcW w:type="dxa" w:w="3024"/>
            <w:shd w:val="clear" w:color="auto" w:fill="F0F4FF"/>
          </w:tcPr>
          <w:p>
            <w:pPr>
              <w:jc w:val="center"/>
            </w:pPr>
            <w:r>
              <w:rPr>
                <w:b/>
                <w:color w:val="3B82D4"/>
                <w:sz w:val="28"/>
              </w:rPr>
              <w:t>24,911</w:t>
              <w:br/>
            </w:r>
            <w:r>
              <w:rPr>
                <w:color w:val="57606A"/>
                <w:sz w:val="18"/>
              </w:rPr>
              <w:t>Unique Customers</w:t>
            </w:r>
          </w:p>
        </w:tc>
      </w:tr>
      <w:tr>
        <w:tc>
          <w:tcPr>
            <w:tcW w:type="dxa" w:w="3024"/>
            <w:shd w:val="clear" w:color="auto" w:fill="F0F4FF"/>
          </w:tcPr>
          <w:p>
            <w:pPr>
              <w:jc w:val="center"/>
            </w:pPr>
            <w:r>
              <w:rPr>
                <w:b/>
                <w:color w:val="3B82D4"/>
                <w:sz w:val="28"/>
              </w:rPr>
              <w:t>3.68 / 5.0</w:t>
              <w:br/>
            </w:r>
            <w:r>
              <w:rPr>
                <w:color w:val="57606A"/>
                <w:sz w:val="18"/>
              </w:rPr>
              <w:t>Avg Customer Rating</w:t>
            </w:r>
          </w:p>
        </w:tc>
        <w:tc>
          <w:tcPr>
            <w:tcW w:type="dxa" w:w="3024"/>
            <w:shd w:val="clear" w:color="auto" w:fill="F0F4FF"/>
          </w:tcPr>
          <w:p>
            <w:pPr>
              <w:jc w:val="center"/>
            </w:pPr>
            <w:r>
              <w:rPr>
                <w:b/>
                <w:color w:val="3B82D4"/>
                <w:sz w:val="28"/>
              </w:rPr>
              <w:t>6.85%</w:t>
              <w:br/>
            </w:r>
            <w:r>
              <w:rPr>
                <w:color w:val="57606A"/>
                <w:sz w:val="18"/>
              </w:rPr>
              <w:t>Return Rate</w:t>
            </w:r>
          </w:p>
        </w:tc>
        <w:tc>
          <w:tcPr>
            <w:tcW w:type="dxa" w:w="3024"/>
            <w:shd w:val="clear" w:color="auto" w:fill="F0F4FF"/>
          </w:tcPr>
          <w:p>
            <w:pPr>
              <w:jc w:val="center"/>
            </w:pPr>
            <w:r>
              <w:rPr>
                <w:b/>
                <w:color w:val="3B82D4"/>
                <w:sz w:val="28"/>
              </w:rPr>
              <w:t>2021 – 2025</w:t>
              <w:br/>
            </w:r>
            <w:r>
              <w:rPr>
                <w:color w:val="57606A"/>
                <w:sz w:val="18"/>
              </w:rPr>
              <w:t>Years Covered</w:t>
            </w:r>
          </w:p>
        </w:tc>
      </w:tr>
    </w:tbl>
    <w:p/>
    <w:p>
      <w:r>
        <w:br w:type="page"/>
      </w:r>
    </w:p>
    <w:p>
      <w:pPr>
        <w:pStyle w:val="Heading1"/>
        <w:jc w:val="left"/>
      </w:pPr>
      <w:r>
        <w:rPr>
          <w:color w:val="3B82D4"/>
        </w:rPr>
        <w:t>4. Revenue &amp; Profit Analysis</w:t>
      </w:r>
    </w:p>
    <w:p>
      <w:pPr>
        <w:pStyle w:val="Heading2"/>
        <w:jc w:val="left"/>
      </w:pPr>
      <w:r>
        <w:rPr>
          <w:color w:val="1F2328"/>
        </w:rPr>
        <w:t>4.1 Monthly Revenue Trend</w:t>
      </w:r>
    </w:p>
    <w:p>
      <w:pPr>
        <w:jc w:val="left"/>
      </w:pPr>
      <w:r>
        <w:rPr>
          <w:b w:val="0"/>
          <w:color w:val="1F2328"/>
          <w:sz w:val="22"/>
        </w:rPr>
        <w:t>The line chart below shows monthly revenue fluctuations from January 2021 through December 2025. The data reveals seasonal peaks and growth patterns across the five-year period.</w:t>
      </w:r>
    </w:p>
    <w:p>
      <w:pPr>
        <w:jc w:val="center"/>
      </w:pPr>
      <w:r>
        <w:drawing>
          <wp:inline xmlns:a="http://schemas.openxmlformats.org/drawingml/2006/main" xmlns:pic="http://schemas.openxmlformats.org/drawingml/2006/picture">
            <wp:extent cx="5669280" cy="223485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234858"/>
                    </a:xfrm>
                    <a:prstGeom prst="rect"/>
                  </pic:spPr>
                </pic:pic>
              </a:graphicData>
            </a:graphic>
          </wp:inline>
        </w:drawing>
      </w:r>
    </w:p>
    <w:p>
      <w:pPr>
        <w:jc w:val="center"/>
      </w:pPr>
      <w:r>
        <w:rPr>
          <w:i/>
          <w:color w:val="57606A"/>
          <w:sz w:val="18"/>
        </w:rPr>
        <w:t>Figure 1: Monthly Net Sales Trend (2021–2025)</w:t>
      </w:r>
    </w:p>
    <w:p>
      <w:pPr>
        <w:pStyle w:val="Heading2"/>
        <w:jc w:val="left"/>
      </w:pPr>
      <w:r>
        <w:rPr>
          <w:color w:val="1F2328"/>
        </w:rPr>
        <w:t>4.2 Annual Revenue vs Profit</w:t>
      </w:r>
    </w:p>
    <w:p>
      <w:pPr>
        <w:jc w:val="left"/>
      </w:pPr>
      <w:r>
        <w:rPr>
          <w:b w:val="0"/>
          <w:color w:val="1F2328"/>
          <w:sz w:val="22"/>
        </w:rPr>
        <w:t>Annual aggregates reveal consistent profit generation alongside growing revenue. The grouped bar chart contrasts total net sales and total profit per calendar year.</w:t>
      </w:r>
    </w:p>
    <w:p>
      <w:pPr>
        <w:jc w:val="center"/>
      </w:pPr>
      <w:r>
        <w:drawing>
          <wp:inline xmlns:a="http://schemas.openxmlformats.org/drawingml/2006/main" xmlns:pic="http://schemas.openxmlformats.org/drawingml/2006/picture">
            <wp:extent cx="5303520" cy="261592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15925"/>
                    </a:xfrm>
                    <a:prstGeom prst="rect"/>
                  </pic:spPr>
                </pic:pic>
              </a:graphicData>
            </a:graphic>
          </wp:inline>
        </w:drawing>
      </w:r>
    </w:p>
    <w:p>
      <w:pPr>
        <w:jc w:val="center"/>
      </w:pPr>
      <w:r>
        <w:rPr>
          <w:i/>
          <w:color w:val="57606A"/>
          <w:sz w:val="18"/>
        </w:rPr>
        <w:t>Figure 2: Annual Revenue vs Profit by Year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3b82d4"/>
          </w:tcPr>
          <w:p>
            <w:pPr>
              <w:jc w:val="center"/>
            </w:pPr>
            <w:r>
              <w:rPr>
                <w:b/>
                <w:color w:val="FFFFFF"/>
                <w:sz w:val="18"/>
              </w:rPr>
              <w:t>Year</w:t>
            </w:r>
          </w:p>
        </w:tc>
        <w:tc>
          <w:tcPr>
            <w:tcW w:type="dxa" w:w="1512"/>
            <w:shd w:val="clear" w:color="auto" w:fill="3b82d4"/>
          </w:tcPr>
          <w:p>
            <w:pPr>
              <w:jc w:val="center"/>
            </w:pPr>
            <w:r>
              <w:rPr>
                <w:b/>
                <w:color w:val="FFFFFF"/>
                <w:sz w:val="18"/>
              </w:rPr>
              <w:t>Revenue</w:t>
            </w:r>
          </w:p>
        </w:tc>
        <w:tc>
          <w:tcPr>
            <w:tcW w:type="dxa" w:w="1512"/>
            <w:shd w:val="clear" w:color="auto" w:fill="3b82d4"/>
          </w:tcPr>
          <w:p>
            <w:pPr>
              <w:jc w:val="center"/>
            </w:pPr>
            <w:r>
              <w:rPr>
                <w:b/>
                <w:color w:val="FFFFFF"/>
                <w:sz w:val="18"/>
              </w:rPr>
              <w:t>Profit</w:t>
            </w:r>
          </w:p>
        </w:tc>
        <w:tc>
          <w:tcPr>
            <w:tcW w:type="dxa" w:w="1512"/>
            <w:shd w:val="clear" w:color="auto" w:fill="3b82d4"/>
          </w:tcPr>
          <w:p>
            <w:pPr>
              <w:jc w:val="center"/>
            </w:pPr>
            <w:r>
              <w:rPr>
                <w:b/>
                <w:color w:val="FFFFFF"/>
                <w:sz w:val="18"/>
              </w:rPr>
              <w:t>Orders</w:t>
            </w:r>
          </w:p>
        </w:tc>
        <w:tc>
          <w:tcPr>
            <w:tcW w:type="dxa" w:w="1512"/>
            <w:shd w:val="clear" w:color="auto" w:fill="3b82d4"/>
          </w:tcPr>
          <w:p>
            <w:pPr>
              <w:jc w:val="center"/>
            </w:pPr>
            <w:r>
              <w:rPr>
                <w:b/>
                <w:color w:val="FFFFFF"/>
                <w:sz w:val="18"/>
              </w:rPr>
              <w:t>AOV</w:t>
            </w:r>
          </w:p>
        </w:tc>
        <w:tc>
          <w:tcPr>
            <w:tcW w:type="dxa" w:w="1512"/>
            <w:shd w:val="clear" w:color="auto" w:fill="3b82d4"/>
          </w:tcPr>
          <w:p>
            <w:pPr>
              <w:jc w:val="center"/>
            </w:pPr>
            <w:r>
              <w:rPr>
                <w:b/>
                <w:color w:val="FFFFFF"/>
                <w:sz w:val="18"/>
              </w:rPr>
              <w:t>Profit Margin %</w:t>
            </w:r>
          </w:p>
        </w:tc>
      </w:tr>
      <w:tr>
        <w:tc>
          <w:tcPr>
            <w:tcW w:type="dxa" w:w="1512"/>
            <w:shd w:val="clear" w:color="auto" w:fill="FFFFFF"/>
          </w:tcPr>
          <w:p>
            <w:pPr>
              <w:jc w:val="center"/>
            </w:pPr>
            <w:r>
              <w:rPr>
                <w:sz w:val="18"/>
              </w:rPr>
              <w:t>2021</w:t>
            </w:r>
          </w:p>
        </w:tc>
        <w:tc>
          <w:tcPr>
            <w:tcW w:type="dxa" w:w="1512"/>
            <w:shd w:val="clear" w:color="auto" w:fill="FFFFFF"/>
          </w:tcPr>
          <w:p>
            <w:pPr>
              <w:jc w:val="center"/>
            </w:pPr>
            <w:r>
              <w:rPr>
                <w:sz w:val="18"/>
              </w:rPr>
              <w:t>$35,722,651</w:t>
            </w:r>
          </w:p>
        </w:tc>
        <w:tc>
          <w:tcPr>
            <w:tcW w:type="dxa" w:w="1512"/>
            <w:shd w:val="clear" w:color="auto" w:fill="FFFFFF"/>
          </w:tcPr>
          <w:p>
            <w:pPr>
              <w:jc w:val="center"/>
            </w:pPr>
            <w:r>
              <w:rPr>
                <w:sz w:val="18"/>
              </w:rPr>
              <w:t>$15,325,652</w:t>
            </w:r>
          </w:p>
        </w:tc>
        <w:tc>
          <w:tcPr>
            <w:tcW w:type="dxa" w:w="1512"/>
            <w:shd w:val="clear" w:color="auto" w:fill="FFFFFF"/>
          </w:tcPr>
          <w:p>
            <w:pPr>
              <w:jc w:val="center"/>
            </w:pPr>
            <w:r>
              <w:rPr>
                <w:sz w:val="18"/>
              </w:rPr>
              <w:t>27,554</w:t>
            </w:r>
          </w:p>
        </w:tc>
        <w:tc>
          <w:tcPr>
            <w:tcW w:type="dxa" w:w="1512"/>
            <w:shd w:val="clear" w:color="auto" w:fill="FFFFFF"/>
          </w:tcPr>
          <w:p>
            <w:pPr>
              <w:jc w:val="center"/>
            </w:pPr>
            <w:r>
              <w:rPr>
                <w:sz w:val="18"/>
              </w:rPr>
              <w:t>$1,296.46</w:t>
            </w:r>
          </w:p>
        </w:tc>
        <w:tc>
          <w:tcPr>
            <w:tcW w:type="dxa" w:w="1512"/>
            <w:shd w:val="clear" w:color="auto" w:fill="FFFFFF"/>
          </w:tcPr>
          <w:p>
            <w:pPr>
              <w:jc w:val="center"/>
            </w:pPr>
            <w:r>
              <w:rPr>
                <w:sz w:val="18"/>
              </w:rPr>
              <w:t>42.9</w:t>
            </w:r>
          </w:p>
        </w:tc>
      </w:tr>
      <w:tr>
        <w:tc>
          <w:tcPr>
            <w:tcW w:type="dxa" w:w="1512"/>
            <w:shd w:val="clear" w:color="auto" w:fill="F7F8FA"/>
          </w:tcPr>
          <w:p>
            <w:pPr>
              <w:jc w:val="center"/>
            </w:pPr>
            <w:r>
              <w:rPr>
                <w:sz w:val="18"/>
              </w:rPr>
              <w:t>2022</w:t>
            </w:r>
          </w:p>
        </w:tc>
        <w:tc>
          <w:tcPr>
            <w:tcW w:type="dxa" w:w="1512"/>
            <w:shd w:val="clear" w:color="auto" w:fill="F7F8FA"/>
          </w:tcPr>
          <w:p>
            <w:pPr>
              <w:jc w:val="center"/>
            </w:pPr>
            <w:r>
              <w:rPr>
                <w:sz w:val="18"/>
              </w:rPr>
              <w:t>$35,327,883</w:t>
            </w:r>
          </w:p>
        </w:tc>
        <w:tc>
          <w:tcPr>
            <w:tcW w:type="dxa" w:w="1512"/>
            <w:shd w:val="clear" w:color="auto" w:fill="F7F8FA"/>
          </w:tcPr>
          <w:p>
            <w:pPr>
              <w:jc w:val="center"/>
            </w:pPr>
            <w:r>
              <w:rPr>
                <w:sz w:val="18"/>
              </w:rPr>
              <w:t>$15,167,979</w:t>
            </w:r>
          </w:p>
        </w:tc>
        <w:tc>
          <w:tcPr>
            <w:tcW w:type="dxa" w:w="1512"/>
            <w:shd w:val="clear" w:color="auto" w:fill="F7F8FA"/>
          </w:tcPr>
          <w:p>
            <w:pPr>
              <w:jc w:val="center"/>
            </w:pPr>
            <w:r>
              <w:rPr>
                <w:sz w:val="18"/>
              </w:rPr>
              <w:t>27,564</w:t>
            </w:r>
          </w:p>
        </w:tc>
        <w:tc>
          <w:tcPr>
            <w:tcW w:type="dxa" w:w="1512"/>
            <w:shd w:val="clear" w:color="auto" w:fill="F7F8FA"/>
          </w:tcPr>
          <w:p>
            <w:pPr>
              <w:jc w:val="center"/>
            </w:pPr>
            <w:r>
              <w:rPr>
                <w:sz w:val="18"/>
              </w:rPr>
              <w:t>$1,281.67</w:t>
            </w:r>
          </w:p>
        </w:tc>
        <w:tc>
          <w:tcPr>
            <w:tcW w:type="dxa" w:w="1512"/>
            <w:shd w:val="clear" w:color="auto" w:fill="F7F8FA"/>
          </w:tcPr>
          <w:p>
            <w:pPr>
              <w:jc w:val="center"/>
            </w:pPr>
            <w:r>
              <w:rPr>
                <w:sz w:val="18"/>
              </w:rPr>
              <w:t>42.93</w:t>
            </w:r>
          </w:p>
        </w:tc>
      </w:tr>
      <w:tr>
        <w:tc>
          <w:tcPr>
            <w:tcW w:type="dxa" w:w="1512"/>
            <w:shd w:val="clear" w:color="auto" w:fill="FFFFFF"/>
          </w:tcPr>
          <w:p>
            <w:pPr>
              <w:jc w:val="center"/>
            </w:pPr>
            <w:r>
              <w:rPr>
                <w:sz w:val="18"/>
              </w:rPr>
              <w:t>2023</w:t>
            </w:r>
          </w:p>
        </w:tc>
        <w:tc>
          <w:tcPr>
            <w:tcW w:type="dxa" w:w="1512"/>
            <w:shd w:val="clear" w:color="auto" w:fill="FFFFFF"/>
          </w:tcPr>
          <w:p>
            <w:pPr>
              <w:jc w:val="center"/>
            </w:pPr>
            <w:r>
              <w:rPr>
                <w:sz w:val="18"/>
              </w:rPr>
              <w:t>$35,528,144</w:t>
            </w:r>
          </w:p>
        </w:tc>
        <w:tc>
          <w:tcPr>
            <w:tcW w:type="dxa" w:w="1512"/>
            <w:shd w:val="clear" w:color="auto" w:fill="FFFFFF"/>
          </w:tcPr>
          <w:p>
            <w:pPr>
              <w:jc w:val="center"/>
            </w:pPr>
            <w:r>
              <w:rPr>
                <w:sz w:val="18"/>
              </w:rPr>
              <w:t>$15,247,696</w:t>
            </w:r>
          </w:p>
        </w:tc>
        <w:tc>
          <w:tcPr>
            <w:tcW w:type="dxa" w:w="1512"/>
            <w:shd w:val="clear" w:color="auto" w:fill="FFFFFF"/>
          </w:tcPr>
          <w:p>
            <w:pPr>
              <w:jc w:val="center"/>
            </w:pPr>
            <w:r>
              <w:rPr>
                <w:sz w:val="18"/>
              </w:rPr>
              <w:t>27,632</w:t>
            </w:r>
          </w:p>
        </w:tc>
        <w:tc>
          <w:tcPr>
            <w:tcW w:type="dxa" w:w="1512"/>
            <w:shd w:val="clear" w:color="auto" w:fill="FFFFFF"/>
          </w:tcPr>
          <w:p>
            <w:pPr>
              <w:jc w:val="center"/>
            </w:pPr>
            <w:r>
              <w:rPr>
                <w:sz w:val="18"/>
              </w:rPr>
              <w:t>$1,285.76</w:t>
            </w:r>
          </w:p>
        </w:tc>
        <w:tc>
          <w:tcPr>
            <w:tcW w:type="dxa" w:w="1512"/>
            <w:shd w:val="clear" w:color="auto" w:fill="FFFFFF"/>
          </w:tcPr>
          <w:p>
            <w:pPr>
              <w:jc w:val="center"/>
            </w:pPr>
            <w:r>
              <w:rPr>
                <w:sz w:val="18"/>
              </w:rPr>
              <w:t>42.92</w:t>
            </w:r>
          </w:p>
        </w:tc>
      </w:tr>
      <w:tr>
        <w:tc>
          <w:tcPr>
            <w:tcW w:type="dxa" w:w="1512"/>
            <w:shd w:val="clear" w:color="auto" w:fill="F7F8FA"/>
          </w:tcPr>
          <w:p>
            <w:pPr>
              <w:jc w:val="center"/>
            </w:pPr>
            <w:r>
              <w:rPr>
                <w:sz w:val="18"/>
              </w:rPr>
              <w:t>2024</w:t>
            </w:r>
          </w:p>
        </w:tc>
        <w:tc>
          <w:tcPr>
            <w:tcW w:type="dxa" w:w="1512"/>
            <w:shd w:val="clear" w:color="auto" w:fill="F7F8FA"/>
          </w:tcPr>
          <w:p>
            <w:pPr>
              <w:jc w:val="center"/>
            </w:pPr>
            <w:r>
              <w:rPr>
                <w:sz w:val="18"/>
              </w:rPr>
              <w:t>$35,466,452</w:t>
            </w:r>
          </w:p>
        </w:tc>
        <w:tc>
          <w:tcPr>
            <w:tcW w:type="dxa" w:w="1512"/>
            <w:shd w:val="clear" w:color="auto" w:fill="F7F8FA"/>
          </w:tcPr>
          <w:p>
            <w:pPr>
              <w:jc w:val="center"/>
            </w:pPr>
            <w:r>
              <w:rPr>
                <w:sz w:val="18"/>
              </w:rPr>
              <w:t>$15,292,965</w:t>
            </w:r>
          </w:p>
        </w:tc>
        <w:tc>
          <w:tcPr>
            <w:tcW w:type="dxa" w:w="1512"/>
            <w:shd w:val="clear" w:color="auto" w:fill="F7F8FA"/>
          </w:tcPr>
          <w:p>
            <w:pPr>
              <w:jc w:val="center"/>
            </w:pPr>
            <w:r>
              <w:rPr>
                <w:sz w:val="18"/>
              </w:rPr>
              <w:t>27,768</w:t>
            </w:r>
          </w:p>
        </w:tc>
        <w:tc>
          <w:tcPr>
            <w:tcW w:type="dxa" w:w="1512"/>
            <w:shd w:val="clear" w:color="auto" w:fill="F7F8FA"/>
          </w:tcPr>
          <w:p>
            <w:pPr>
              <w:jc w:val="center"/>
            </w:pPr>
            <w:r>
              <w:rPr>
                <w:sz w:val="18"/>
              </w:rPr>
              <w:t>$1,277.24</w:t>
            </w:r>
          </w:p>
        </w:tc>
        <w:tc>
          <w:tcPr>
            <w:tcW w:type="dxa" w:w="1512"/>
            <w:shd w:val="clear" w:color="auto" w:fill="F7F8FA"/>
          </w:tcPr>
          <w:p>
            <w:pPr>
              <w:jc w:val="center"/>
            </w:pPr>
            <w:r>
              <w:rPr>
                <w:sz w:val="18"/>
              </w:rPr>
              <w:t>43.12</w:t>
            </w:r>
          </w:p>
        </w:tc>
      </w:tr>
      <w:tr>
        <w:tc>
          <w:tcPr>
            <w:tcW w:type="dxa" w:w="1512"/>
            <w:shd w:val="clear" w:color="auto" w:fill="FFFFFF"/>
          </w:tcPr>
          <w:p>
            <w:pPr>
              <w:jc w:val="center"/>
            </w:pPr>
            <w:r>
              <w:rPr>
                <w:sz w:val="18"/>
              </w:rPr>
              <w:t>2025</w:t>
            </w:r>
          </w:p>
        </w:tc>
        <w:tc>
          <w:tcPr>
            <w:tcW w:type="dxa" w:w="1512"/>
            <w:shd w:val="clear" w:color="auto" w:fill="FFFFFF"/>
          </w:tcPr>
          <w:p>
            <w:pPr>
              <w:jc w:val="center"/>
            </w:pPr>
            <w:r>
              <w:rPr>
                <w:sz w:val="18"/>
              </w:rPr>
              <w:t>$35,089,134</w:t>
            </w:r>
          </w:p>
        </w:tc>
        <w:tc>
          <w:tcPr>
            <w:tcW w:type="dxa" w:w="1512"/>
            <w:shd w:val="clear" w:color="auto" w:fill="FFFFFF"/>
          </w:tcPr>
          <w:p>
            <w:pPr>
              <w:jc w:val="center"/>
            </w:pPr>
            <w:r>
              <w:rPr>
                <w:sz w:val="18"/>
              </w:rPr>
              <w:t>$15,112,104</w:t>
            </w:r>
          </w:p>
        </w:tc>
        <w:tc>
          <w:tcPr>
            <w:tcW w:type="dxa" w:w="1512"/>
            <w:shd w:val="clear" w:color="auto" w:fill="FFFFFF"/>
          </w:tcPr>
          <w:p>
            <w:pPr>
              <w:jc w:val="center"/>
            </w:pPr>
            <w:r>
              <w:rPr>
                <w:sz w:val="18"/>
              </w:rPr>
              <w:t>27,598</w:t>
            </w:r>
          </w:p>
        </w:tc>
        <w:tc>
          <w:tcPr>
            <w:tcW w:type="dxa" w:w="1512"/>
            <w:shd w:val="clear" w:color="auto" w:fill="FFFFFF"/>
          </w:tcPr>
          <w:p>
            <w:pPr>
              <w:jc w:val="center"/>
            </w:pPr>
            <w:r>
              <w:rPr>
                <w:sz w:val="18"/>
              </w:rPr>
              <w:t>$1,271.44</w:t>
            </w:r>
          </w:p>
        </w:tc>
        <w:tc>
          <w:tcPr>
            <w:tcW w:type="dxa" w:w="1512"/>
            <w:shd w:val="clear" w:color="auto" w:fill="FFFFFF"/>
          </w:tcPr>
          <w:p>
            <w:pPr>
              <w:jc w:val="center"/>
            </w:pPr>
            <w:r>
              <w:rPr>
                <w:sz w:val="18"/>
              </w:rPr>
              <w:t>43.07</w:t>
            </w:r>
          </w:p>
        </w:tc>
      </w:tr>
    </w:tbl>
    <w:p/>
    <w:p>
      <w:r>
        <w:br w:type="page"/>
      </w:r>
    </w:p>
    <w:p>
      <w:pPr>
        <w:pStyle w:val="Heading1"/>
        <w:jc w:val="left"/>
      </w:pPr>
      <w:r>
        <w:rPr>
          <w:color w:val="3B82D4"/>
        </w:rPr>
        <w:t>5. Sales Channel &amp; Regional Analysis</w:t>
      </w:r>
    </w:p>
    <w:p>
      <w:pPr>
        <w:pStyle w:val="Heading2"/>
        <w:jc w:val="left"/>
      </w:pPr>
      <w:r>
        <w:rPr>
          <w:color w:val="1F2328"/>
        </w:rPr>
        <w:t>5.1 Sales by Region</w:t>
      </w:r>
    </w:p>
    <w:p>
      <w:pPr>
        <w:jc w:val="left"/>
      </w:pPr>
      <w:r>
        <w:rPr>
          <w:b w:val="0"/>
          <w:color w:val="1F2328"/>
          <w:sz w:val="22"/>
        </w:rPr>
        <w:t>Geographic distribution of sales reveals which regions contribute most to overall revenue. Understanding regional performance guides logistics, warehousing, and marketing spend decisions.</w:t>
      </w:r>
    </w:p>
    <w:p>
      <w:pPr>
        <w:jc w:val="center"/>
      </w:pPr>
      <w:r>
        <w:drawing>
          <wp:inline xmlns:a="http://schemas.openxmlformats.org/drawingml/2006/main" xmlns:pic="http://schemas.openxmlformats.org/drawingml/2006/picture">
            <wp:extent cx="5486400" cy="27038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3846"/>
                    </a:xfrm>
                    <a:prstGeom prst="rect"/>
                  </pic:spPr>
                </pic:pic>
              </a:graphicData>
            </a:graphic>
          </wp:inline>
        </w:drawing>
      </w:r>
    </w:p>
    <w:p>
      <w:pPr>
        <w:jc w:val="center"/>
      </w:pPr>
      <w:r>
        <w:rPr>
          <w:i/>
          <w:color w:val="57606A"/>
          <w:sz w:val="18"/>
        </w:rPr>
        <w:t>Figure 3: Net Sales by Region</w:t>
      </w:r>
    </w:p>
    <w:p>
      <w:pPr>
        <w:pStyle w:val="Heading2"/>
        <w:jc w:val="left"/>
      </w:pPr>
      <w:r>
        <w:rPr>
          <w:color w:val="1F2328"/>
        </w:rPr>
        <w:t>5.2 Sales Channel Performance</w:t>
      </w:r>
    </w:p>
    <w:p>
      <w:pPr>
        <w:jc w:val="left"/>
      </w:pPr>
      <w:r>
        <w:rPr>
          <w:b w:val="0"/>
          <w:color w:val="1F2328"/>
          <w:sz w:val="22"/>
        </w:rPr>
        <w:t>The platform operates across multiple sales channels including Mobile App, Website, Social Media, and Marketplace. The charts below show both revenue share and absolute revenue.</w:t>
      </w:r>
    </w:p>
    <w:p>
      <w:pPr>
        <w:jc w:val="center"/>
      </w:pPr>
      <w:r>
        <w:drawing>
          <wp:inline xmlns:a="http://schemas.openxmlformats.org/drawingml/2006/main" xmlns:pic="http://schemas.openxmlformats.org/drawingml/2006/picture">
            <wp:extent cx="5669280" cy="218106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181067"/>
                    </a:xfrm>
                    <a:prstGeom prst="rect"/>
                  </pic:spPr>
                </pic:pic>
              </a:graphicData>
            </a:graphic>
          </wp:inline>
        </w:drawing>
      </w:r>
    </w:p>
    <w:p>
      <w:pPr>
        <w:jc w:val="center"/>
      </w:pPr>
      <w:r>
        <w:rPr>
          <w:i/>
          <w:color w:val="57606A"/>
          <w:sz w:val="18"/>
        </w:rPr>
        <w:t>Figure 4: Revenue Distribution and Share by Sales Channel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3b82d4"/>
          </w:tcPr>
          <w:p>
            <w:pPr>
              <w:jc w:val="center"/>
            </w:pPr>
            <w:r>
              <w:rPr>
                <w:b/>
                <w:color w:val="FFFFFF"/>
                <w:sz w:val="18"/>
              </w:rPr>
              <w:t>Channel</w:t>
            </w:r>
          </w:p>
        </w:tc>
        <w:tc>
          <w:tcPr>
            <w:tcW w:type="dxa" w:w="1512"/>
            <w:shd w:val="clear" w:color="auto" w:fill="3b82d4"/>
          </w:tcPr>
          <w:p>
            <w:pPr>
              <w:jc w:val="center"/>
            </w:pPr>
            <w:r>
              <w:rPr>
                <w:b/>
                <w:color w:val="FFFFFF"/>
                <w:sz w:val="18"/>
              </w:rPr>
              <w:t>Orders</w:t>
            </w:r>
          </w:p>
        </w:tc>
        <w:tc>
          <w:tcPr>
            <w:tcW w:type="dxa" w:w="1512"/>
            <w:shd w:val="clear" w:color="auto" w:fill="3b82d4"/>
          </w:tcPr>
          <w:p>
            <w:pPr>
              <w:jc w:val="center"/>
            </w:pPr>
            <w:r>
              <w:rPr>
                <w:b/>
                <w:color w:val="FFFFFF"/>
                <w:sz w:val="18"/>
              </w:rPr>
              <w:t>Revenue</w:t>
            </w:r>
          </w:p>
        </w:tc>
        <w:tc>
          <w:tcPr>
            <w:tcW w:type="dxa" w:w="1512"/>
            <w:shd w:val="clear" w:color="auto" w:fill="3b82d4"/>
          </w:tcPr>
          <w:p>
            <w:pPr>
              <w:jc w:val="center"/>
            </w:pPr>
            <w:r>
              <w:rPr>
                <w:b/>
                <w:color w:val="FFFFFF"/>
                <w:sz w:val="18"/>
              </w:rPr>
              <w:t>Avg Order</w:t>
            </w:r>
          </w:p>
        </w:tc>
        <w:tc>
          <w:tcPr>
            <w:tcW w:type="dxa" w:w="1512"/>
            <w:shd w:val="clear" w:color="auto" w:fill="3b82d4"/>
          </w:tcPr>
          <w:p>
            <w:pPr>
              <w:jc w:val="center"/>
            </w:pPr>
            <w:r>
              <w:rPr>
                <w:b/>
                <w:color w:val="FFFFFF"/>
                <w:sz w:val="18"/>
              </w:rPr>
              <w:t>Avg Rating</w:t>
            </w:r>
          </w:p>
        </w:tc>
        <w:tc>
          <w:tcPr>
            <w:tcW w:type="dxa" w:w="1512"/>
            <w:shd w:val="clear" w:color="auto" w:fill="3b82d4"/>
          </w:tcPr>
          <w:p>
            <w:pPr>
              <w:jc w:val="center"/>
            </w:pPr>
            <w:r>
              <w:rPr>
                <w:b/>
                <w:color w:val="FFFFFF"/>
                <w:sz w:val="18"/>
              </w:rPr>
              <w:t>Revenue Share %</w:t>
            </w:r>
          </w:p>
        </w:tc>
      </w:tr>
      <w:tr>
        <w:tc>
          <w:tcPr>
            <w:tcW w:type="dxa" w:w="1512"/>
            <w:shd w:val="clear" w:color="auto" w:fill="FFFFFF"/>
          </w:tcPr>
          <w:p>
            <w:pPr>
              <w:jc w:val="center"/>
            </w:pPr>
            <w:r>
              <w:rPr>
                <w:sz w:val="18"/>
              </w:rPr>
              <w:t>Mobile App</w:t>
            </w:r>
          </w:p>
        </w:tc>
        <w:tc>
          <w:tcPr>
            <w:tcW w:type="dxa" w:w="1512"/>
            <w:shd w:val="clear" w:color="auto" w:fill="FFFFFF"/>
          </w:tcPr>
          <w:p>
            <w:pPr>
              <w:jc w:val="center"/>
            </w:pPr>
            <w:r>
              <w:rPr>
                <w:sz w:val="18"/>
              </w:rPr>
              <w:t>55,318</w:t>
            </w:r>
          </w:p>
        </w:tc>
        <w:tc>
          <w:tcPr>
            <w:tcW w:type="dxa" w:w="1512"/>
            <w:shd w:val="clear" w:color="auto" w:fill="FFFFFF"/>
          </w:tcPr>
          <w:p>
            <w:pPr>
              <w:jc w:val="center"/>
            </w:pPr>
            <w:r>
              <w:rPr>
                <w:sz w:val="18"/>
              </w:rPr>
              <w:t>$70,834,783</w:t>
            </w:r>
          </w:p>
        </w:tc>
        <w:tc>
          <w:tcPr>
            <w:tcW w:type="dxa" w:w="1512"/>
            <w:shd w:val="clear" w:color="auto" w:fill="FFFFFF"/>
          </w:tcPr>
          <w:p>
            <w:pPr>
              <w:jc w:val="center"/>
            </w:pPr>
            <w:r>
              <w:rPr>
                <w:sz w:val="18"/>
              </w:rPr>
              <w:t>$1,280.50</w:t>
            </w:r>
          </w:p>
        </w:tc>
        <w:tc>
          <w:tcPr>
            <w:tcW w:type="dxa" w:w="1512"/>
            <w:shd w:val="clear" w:color="auto" w:fill="FFFFFF"/>
          </w:tcPr>
          <w:p>
            <w:pPr>
              <w:jc w:val="center"/>
            </w:pPr>
            <w:r>
              <w:rPr>
                <w:sz w:val="18"/>
              </w:rPr>
              <w:t>3.68</w:t>
            </w:r>
          </w:p>
        </w:tc>
        <w:tc>
          <w:tcPr>
            <w:tcW w:type="dxa" w:w="1512"/>
            <w:shd w:val="clear" w:color="auto" w:fill="FFFFFF"/>
          </w:tcPr>
          <w:p>
            <w:pPr>
              <w:jc w:val="center"/>
            </w:pPr>
            <w:r>
              <w:rPr>
                <w:sz w:val="18"/>
              </w:rPr>
              <w:t>39.99</w:t>
            </w:r>
          </w:p>
        </w:tc>
      </w:tr>
      <w:tr>
        <w:tc>
          <w:tcPr>
            <w:tcW w:type="dxa" w:w="1512"/>
            <w:shd w:val="clear" w:color="auto" w:fill="F7F8FA"/>
          </w:tcPr>
          <w:p>
            <w:pPr>
              <w:jc w:val="center"/>
            </w:pPr>
            <w:r>
              <w:rPr>
                <w:sz w:val="18"/>
              </w:rPr>
              <w:t>Website</w:t>
            </w:r>
          </w:p>
        </w:tc>
        <w:tc>
          <w:tcPr>
            <w:tcW w:type="dxa" w:w="1512"/>
            <w:shd w:val="clear" w:color="auto" w:fill="F7F8FA"/>
          </w:tcPr>
          <w:p>
            <w:pPr>
              <w:jc w:val="center"/>
            </w:pPr>
            <w:r>
              <w:rPr>
                <w:sz w:val="18"/>
              </w:rPr>
              <w:t>48,237</w:t>
            </w:r>
          </w:p>
        </w:tc>
        <w:tc>
          <w:tcPr>
            <w:tcW w:type="dxa" w:w="1512"/>
            <w:shd w:val="clear" w:color="auto" w:fill="F7F8FA"/>
          </w:tcPr>
          <w:p>
            <w:pPr>
              <w:jc w:val="center"/>
            </w:pPr>
            <w:r>
              <w:rPr>
                <w:sz w:val="18"/>
              </w:rPr>
              <w:t>$61,854,736</w:t>
            </w:r>
          </w:p>
        </w:tc>
        <w:tc>
          <w:tcPr>
            <w:tcW w:type="dxa" w:w="1512"/>
            <w:shd w:val="clear" w:color="auto" w:fill="F7F8FA"/>
          </w:tcPr>
          <w:p>
            <w:pPr>
              <w:jc w:val="center"/>
            </w:pPr>
            <w:r>
              <w:rPr>
                <w:sz w:val="18"/>
              </w:rPr>
              <w:t>$1,282.31</w:t>
            </w:r>
          </w:p>
        </w:tc>
        <w:tc>
          <w:tcPr>
            <w:tcW w:type="dxa" w:w="1512"/>
            <w:shd w:val="clear" w:color="auto" w:fill="F7F8FA"/>
          </w:tcPr>
          <w:p>
            <w:pPr>
              <w:jc w:val="center"/>
            </w:pPr>
            <w:r>
              <w:rPr>
                <w:sz w:val="18"/>
              </w:rPr>
              <w:t>3.68</w:t>
            </w:r>
          </w:p>
        </w:tc>
        <w:tc>
          <w:tcPr>
            <w:tcW w:type="dxa" w:w="1512"/>
            <w:shd w:val="clear" w:color="auto" w:fill="F7F8FA"/>
          </w:tcPr>
          <w:p>
            <w:pPr>
              <w:jc w:val="center"/>
            </w:pPr>
            <w:r>
              <w:rPr>
                <w:sz w:val="18"/>
              </w:rPr>
              <w:t>34.92</w:t>
            </w:r>
          </w:p>
        </w:tc>
      </w:tr>
      <w:tr>
        <w:tc>
          <w:tcPr>
            <w:tcW w:type="dxa" w:w="1512"/>
            <w:shd w:val="clear" w:color="auto" w:fill="FFFFFF"/>
          </w:tcPr>
          <w:p>
            <w:pPr>
              <w:jc w:val="center"/>
            </w:pPr>
            <w:r>
              <w:rPr>
                <w:sz w:val="18"/>
              </w:rPr>
              <w:t>Marketplace</w:t>
            </w:r>
          </w:p>
        </w:tc>
        <w:tc>
          <w:tcPr>
            <w:tcW w:type="dxa" w:w="1512"/>
            <w:shd w:val="clear" w:color="auto" w:fill="FFFFFF"/>
          </w:tcPr>
          <w:p>
            <w:pPr>
              <w:jc w:val="center"/>
            </w:pPr>
            <w:r>
              <w:rPr>
                <w:sz w:val="18"/>
              </w:rPr>
              <w:t>20,698</w:t>
            </w:r>
          </w:p>
        </w:tc>
        <w:tc>
          <w:tcPr>
            <w:tcW w:type="dxa" w:w="1512"/>
            <w:shd w:val="clear" w:color="auto" w:fill="FFFFFF"/>
          </w:tcPr>
          <w:p>
            <w:pPr>
              <w:jc w:val="center"/>
            </w:pPr>
            <w:r>
              <w:rPr>
                <w:sz w:val="18"/>
              </w:rPr>
              <w:t>$26,696,190</w:t>
            </w:r>
          </w:p>
        </w:tc>
        <w:tc>
          <w:tcPr>
            <w:tcW w:type="dxa" w:w="1512"/>
            <w:shd w:val="clear" w:color="auto" w:fill="FFFFFF"/>
          </w:tcPr>
          <w:p>
            <w:pPr>
              <w:jc w:val="center"/>
            </w:pPr>
            <w:r>
              <w:rPr>
                <w:sz w:val="18"/>
              </w:rPr>
              <w:t>$1,289.80</w:t>
            </w:r>
          </w:p>
        </w:tc>
        <w:tc>
          <w:tcPr>
            <w:tcW w:type="dxa" w:w="1512"/>
            <w:shd w:val="clear" w:color="auto" w:fill="FFFFFF"/>
          </w:tcPr>
          <w:p>
            <w:pPr>
              <w:jc w:val="center"/>
            </w:pPr>
            <w:r>
              <w:rPr>
                <w:sz w:val="18"/>
              </w:rPr>
              <w:t>3.67</w:t>
            </w:r>
          </w:p>
        </w:tc>
        <w:tc>
          <w:tcPr>
            <w:tcW w:type="dxa" w:w="1512"/>
            <w:shd w:val="clear" w:color="auto" w:fill="FFFFFF"/>
          </w:tcPr>
          <w:p>
            <w:pPr>
              <w:jc w:val="center"/>
            </w:pPr>
            <w:r>
              <w:rPr>
                <w:sz w:val="18"/>
              </w:rPr>
              <w:t>15.07</w:t>
            </w:r>
          </w:p>
        </w:tc>
      </w:tr>
      <w:tr>
        <w:tc>
          <w:tcPr>
            <w:tcW w:type="dxa" w:w="1512"/>
            <w:shd w:val="clear" w:color="auto" w:fill="F7F8FA"/>
          </w:tcPr>
          <w:p>
            <w:pPr>
              <w:jc w:val="center"/>
            </w:pPr>
            <w:r>
              <w:rPr>
                <w:sz w:val="18"/>
              </w:rPr>
              <w:t>Social Media</w:t>
            </w:r>
          </w:p>
        </w:tc>
        <w:tc>
          <w:tcPr>
            <w:tcW w:type="dxa" w:w="1512"/>
            <w:shd w:val="clear" w:color="auto" w:fill="F7F8FA"/>
          </w:tcPr>
          <w:p>
            <w:pPr>
              <w:jc w:val="center"/>
            </w:pPr>
            <w:r>
              <w:rPr>
                <w:sz w:val="18"/>
              </w:rPr>
              <w:t>13,863</w:t>
            </w:r>
          </w:p>
        </w:tc>
        <w:tc>
          <w:tcPr>
            <w:tcW w:type="dxa" w:w="1512"/>
            <w:shd w:val="clear" w:color="auto" w:fill="F7F8FA"/>
          </w:tcPr>
          <w:p>
            <w:pPr>
              <w:jc w:val="center"/>
            </w:pPr>
            <w:r>
              <w:rPr>
                <w:sz w:val="18"/>
              </w:rPr>
              <w:t>$17,748,555</w:t>
            </w:r>
          </w:p>
        </w:tc>
        <w:tc>
          <w:tcPr>
            <w:tcW w:type="dxa" w:w="1512"/>
            <w:shd w:val="clear" w:color="auto" w:fill="F7F8FA"/>
          </w:tcPr>
          <w:p>
            <w:pPr>
              <w:jc w:val="center"/>
            </w:pPr>
            <w:r>
              <w:rPr>
                <w:sz w:val="18"/>
              </w:rPr>
              <w:t>$1,280.28</w:t>
            </w:r>
          </w:p>
        </w:tc>
        <w:tc>
          <w:tcPr>
            <w:tcW w:type="dxa" w:w="1512"/>
            <w:shd w:val="clear" w:color="auto" w:fill="F7F8FA"/>
          </w:tcPr>
          <w:p>
            <w:pPr>
              <w:jc w:val="center"/>
            </w:pPr>
            <w:r>
              <w:rPr>
                <w:sz w:val="18"/>
              </w:rPr>
              <w:t>3.68</w:t>
            </w:r>
          </w:p>
        </w:tc>
        <w:tc>
          <w:tcPr>
            <w:tcW w:type="dxa" w:w="1512"/>
            <w:shd w:val="clear" w:color="auto" w:fill="F7F8FA"/>
          </w:tcPr>
          <w:p>
            <w:pPr>
              <w:jc w:val="center"/>
            </w:pPr>
            <w:r>
              <w:rPr>
                <w:sz w:val="18"/>
              </w:rPr>
              <w:t>10.02</w:t>
            </w:r>
          </w:p>
        </w:tc>
      </w:tr>
    </w:tbl>
    <w:p/>
    <w:p>
      <w:r>
        <w:br w:type="page"/>
      </w:r>
    </w:p>
    <w:p>
      <w:pPr>
        <w:pStyle w:val="Heading1"/>
        <w:jc w:val="left"/>
      </w:pPr>
      <w:r>
        <w:rPr>
          <w:color w:val="3B82D4"/>
        </w:rPr>
        <w:t>6. Product &amp; Brand Performance</w:t>
      </w:r>
    </w:p>
    <w:p>
      <w:pPr>
        <w:pStyle w:val="Heading2"/>
        <w:jc w:val="left"/>
      </w:pPr>
      <w:r>
        <w:rPr>
          <w:color w:val="1F2328"/>
        </w:rPr>
        <w:t>6.1 Top Product Categories</w:t>
      </w:r>
    </w:p>
    <w:p>
      <w:pPr>
        <w:jc w:val="left"/>
      </w:pPr>
      <w:r>
        <w:rPr>
          <w:b w:val="0"/>
          <w:color w:val="1F2328"/>
          <w:sz w:val="22"/>
        </w:rPr>
        <w:t>Product category analysis identifies which verticals drive the highest revenue. This insight guides inventory planning, supplier negotiations, and promotional strategies.</w:t>
      </w:r>
    </w:p>
    <w:p>
      <w:pPr>
        <w:jc w:val="center"/>
      </w:pPr>
      <w:r>
        <w:drawing>
          <wp:inline xmlns:a="http://schemas.openxmlformats.org/drawingml/2006/main" xmlns:pic="http://schemas.openxmlformats.org/drawingml/2006/picture">
            <wp:extent cx="5669280" cy="248376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483766"/>
                    </a:xfrm>
                    <a:prstGeom prst="rect"/>
                  </pic:spPr>
                </pic:pic>
              </a:graphicData>
            </a:graphic>
          </wp:inline>
        </w:drawing>
      </w:r>
    </w:p>
    <w:p>
      <w:pPr>
        <w:jc w:val="center"/>
      </w:pPr>
      <w:r>
        <w:rPr>
          <w:i/>
          <w:color w:val="57606A"/>
          <w:sz w:val="18"/>
        </w:rPr>
        <w:t>Figure 5: Top 10 Product Categories by Net Sales</w:t>
      </w:r>
    </w:p>
    <w:p>
      <w:pPr>
        <w:pStyle w:val="Heading2"/>
        <w:jc w:val="left"/>
      </w:pPr>
      <w:r>
        <w:rPr>
          <w:color w:val="1F2328"/>
        </w:rPr>
        <w:t>6.2 Top Brands by Revenue</w:t>
      </w:r>
    </w:p>
    <w:p>
      <w:pPr>
        <w:jc w:val="left"/>
      </w:pPr>
      <w:r>
        <w:rPr>
          <w:b w:val="0"/>
          <w:color w:val="1F2328"/>
          <w:sz w:val="22"/>
        </w:rPr>
        <w:t>Brand-level performance highlights which brand partnerships are most valuable. The top 10 brands by revenue are ranked below.</w:t>
      </w:r>
    </w:p>
    <w:p>
      <w:pPr>
        <w:jc w:val="center"/>
      </w:pPr>
      <w:r>
        <w:drawing>
          <wp:inline xmlns:a="http://schemas.openxmlformats.org/drawingml/2006/main" xmlns:pic="http://schemas.openxmlformats.org/drawingml/2006/picture">
            <wp:extent cx="5669280" cy="247818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478188"/>
                    </a:xfrm>
                    <a:prstGeom prst="rect"/>
                  </pic:spPr>
                </pic:pic>
              </a:graphicData>
            </a:graphic>
          </wp:inline>
        </w:drawing>
      </w:r>
    </w:p>
    <w:p>
      <w:pPr>
        <w:jc w:val="center"/>
      </w:pPr>
      <w:r>
        <w:rPr>
          <w:i/>
          <w:color w:val="57606A"/>
          <w:sz w:val="18"/>
        </w:rPr>
        <w:t>Figure 6: Top 10 Brands by Revenue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3b82d4"/>
          </w:tcPr>
          <w:p>
            <w:pPr>
              <w:jc w:val="center"/>
            </w:pPr>
            <w:r>
              <w:rPr>
                <w:b/>
                <w:color w:val="FFFFFF"/>
                <w:sz w:val="18"/>
              </w:rPr>
              <w:t>Brand</w:t>
            </w:r>
          </w:p>
        </w:tc>
        <w:tc>
          <w:tcPr>
            <w:tcW w:type="dxa" w:w="1814"/>
            <w:shd w:val="clear" w:color="auto" w:fill="3b82d4"/>
          </w:tcPr>
          <w:p>
            <w:pPr>
              <w:jc w:val="center"/>
            </w:pPr>
            <w:r>
              <w:rPr>
                <w:b/>
                <w:color w:val="FFFFFF"/>
                <w:sz w:val="18"/>
              </w:rPr>
              <w:t>Revenue</w:t>
            </w:r>
          </w:p>
        </w:tc>
        <w:tc>
          <w:tcPr>
            <w:tcW w:type="dxa" w:w="1814"/>
            <w:shd w:val="clear" w:color="auto" w:fill="3b82d4"/>
          </w:tcPr>
          <w:p>
            <w:pPr>
              <w:jc w:val="center"/>
            </w:pPr>
            <w:r>
              <w:rPr>
                <w:b/>
                <w:color w:val="FFFFFF"/>
                <w:sz w:val="18"/>
              </w:rPr>
              <w:t>Profit</w:t>
            </w:r>
          </w:p>
        </w:tc>
        <w:tc>
          <w:tcPr>
            <w:tcW w:type="dxa" w:w="1814"/>
            <w:shd w:val="clear" w:color="auto" w:fill="3b82d4"/>
          </w:tcPr>
          <w:p>
            <w:pPr>
              <w:jc w:val="center"/>
            </w:pPr>
            <w:r>
              <w:rPr>
                <w:b/>
                <w:color w:val="FFFFFF"/>
                <w:sz w:val="18"/>
              </w:rPr>
              <w:t>Orders</w:t>
            </w:r>
          </w:p>
        </w:tc>
        <w:tc>
          <w:tcPr>
            <w:tcW w:type="dxa" w:w="1814"/>
            <w:shd w:val="clear" w:color="auto" w:fill="3b82d4"/>
          </w:tcPr>
          <w:p>
            <w:pPr>
              <w:jc w:val="center"/>
            </w:pPr>
            <w:r>
              <w:rPr>
                <w:b/>
                <w:color w:val="FFFFFF"/>
                <w:sz w:val="18"/>
              </w:rPr>
              <w:t>Margin %</w:t>
            </w:r>
          </w:p>
        </w:tc>
      </w:tr>
      <w:tr>
        <w:tc>
          <w:tcPr>
            <w:tcW w:type="dxa" w:w="1814"/>
            <w:shd w:val="clear" w:color="auto" w:fill="FFFFFF"/>
          </w:tcPr>
          <w:p>
            <w:pPr>
              <w:jc w:val="center"/>
            </w:pPr>
            <w:r>
              <w:rPr>
                <w:sz w:val="18"/>
              </w:rPr>
              <w:t>Samsung</w:t>
            </w:r>
          </w:p>
        </w:tc>
        <w:tc>
          <w:tcPr>
            <w:tcW w:type="dxa" w:w="1814"/>
            <w:shd w:val="clear" w:color="auto" w:fill="FFFFFF"/>
          </w:tcPr>
          <w:p>
            <w:pPr>
              <w:jc w:val="center"/>
            </w:pPr>
            <w:r>
              <w:rPr>
                <w:sz w:val="18"/>
              </w:rPr>
              <w:t>$6,922,014</w:t>
            </w:r>
          </w:p>
        </w:tc>
        <w:tc>
          <w:tcPr>
            <w:tcW w:type="dxa" w:w="1814"/>
            <w:shd w:val="clear" w:color="auto" w:fill="FFFFFF"/>
          </w:tcPr>
          <w:p>
            <w:pPr>
              <w:jc w:val="center"/>
            </w:pPr>
            <w:r>
              <w:rPr>
                <w:sz w:val="18"/>
              </w:rPr>
              <w:t>$2,435,720</w:t>
            </w:r>
          </w:p>
        </w:tc>
        <w:tc>
          <w:tcPr>
            <w:tcW w:type="dxa" w:w="1814"/>
            <w:shd w:val="clear" w:color="auto" w:fill="FFFFFF"/>
          </w:tcPr>
          <w:p>
            <w:pPr>
              <w:jc w:val="center"/>
            </w:pPr>
            <w:r>
              <w:rPr>
                <w:sz w:val="18"/>
              </w:rPr>
              <w:t>5,424</w:t>
            </w:r>
          </w:p>
        </w:tc>
        <w:tc>
          <w:tcPr>
            <w:tcW w:type="dxa" w:w="1814"/>
            <w:shd w:val="clear" w:color="auto" w:fill="FFFFFF"/>
          </w:tcPr>
          <w:p>
            <w:pPr>
              <w:jc w:val="center"/>
            </w:pPr>
            <w:r>
              <w:rPr>
                <w:sz w:val="18"/>
              </w:rPr>
              <w:t>35.19</w:t>
            </w:r>
          </w:p>
        </w:tc>
      </w:tr>
      <w:tr>
        <w:tc>
          <w:tcPr>
            <w:tcW w:type="dxa" w:w="1814"/>
            <w:shd w:val="clear" w:color="auto" w:fill="F7F8FA"/>
          </w:tcPr>
          <w:p>
            <w:pPr>
              <w:jc w:val="center"/>
            </w:pPr>
            <w:r>
              <w:rPr>
                <w:sz w:val="18"/>
              </w:rPr>
              <w:t>LG</w:t>
            </w:r>
          </w:p>
        </w:tc>
        <w:tc>
          <w:tcPr>
            <w:tcW w:type="dxa" w:w="1814"/>
            <w:shd w:val="clear" w:color="auto" w:fill="F7F8FA"/>
          </w:tcPr>
          <w:p>
            <w:pPr>
              <w:jc w:val="center"/>
            </w:pPr>
            <w:r>
              <w:rPr>
                <w:sz w:val="18"/>
              </w:rPr>
              <w:t>$6,165,232</w:t>
            </w:r>
          </w:p>
        </w:tc>
        <w:tc>
          <w:tcPr>
            <w:tcW w:type="dxa" w:w="1814"/>
            <w:shd w:val="clear" w:color="auto" w:fill="F7F8FA"/>
          </w:tcPr>
          <w:p>
            <w:pPr>
              <w:jc w:val="center"/>
            </w:pPr>
            <w:r>
              <w:rPr>
                <w:sz w:val="18"/>
              </w:rPr>
              <w:t>$2,166,500</w:t>
            </w:r>
          </w:p>
        </w:tc>
        <w:tc>
          <w:tcPr>
            <w:tcW w:type="dxa" w:w="1814"/>
            <w:shd w:val="clear" w:color="auto" w:fill="F7F8FA"/>
          </w:tcPr>
          <w:p>
            <w:pPr>
              <w:jc w:val="center"/>
            </w:pPr>
            <w:r>
              <w:rPr>
                <w:sz w:val="18"/>
              </w:rPr>
              <w:t>5,506</w:t>
            </w:r>
          </w:p>
        </w:tc>
        <w:tc>
          <w:tcPr>
            <w:tcW w:type="dxa" w:w="1814"/>
            <w:shd w:val="clear" w:color="auto" w:fill="F7F8FA"/>
          </w:tcPr>
          <w:p>
            <w:pPr>
              <w:jc w:val="center"/>
            </w:pPr>
            <w:r>
              <w:rPr>
                <w:sz w:val="18"/>
              </w:rPr>
              <w:t>35.14</w:t>
            </w:r>
          </w:p>
        </w:tc>
      </w:tr>
      <w:tr>
        <w:tc>
          <w:tcPr>
            <w:tcW w:type="dxa" w:w="1814"/>
            <w:shd w:val="clear" w:color="auto" w:fill="FFFFFF"/>
          </w:tcPr>
          <w:p>
            <w:pPr>
              <w:jc w:val="center"/>
            </w:pPr>
            <w:r>
              <w:rPr>
                <w:sz w:val="18"/>
              </w:rPr>
              <w:t>OnePlus</w:t>
            </w:r>
          </w:p>
        </w:tc>
        <w:tc>
          <w:tcPr>
            <w:tcW w:type="dxa" w:w="1814"/>
            <w:shd w:val="clear" w:color="auto" w:fill="FFFFFF"/>
          </w:tcPr>
          <w:p>
            <w:pPr>
              <w:jc w:val="center"/>
            </w:pPr>
            <w:r>
              <w:rPr>
                <w:sz w:val="18"/>
              </w:rPr>
              <w:t>$5,080,134</w:t>
            </w:r>
          </w:p>
        </w:tc>
        <w:tc>
          <w:tcPr>
            <w:tcW w:type="dxa" w:w="1814"/>
            <w:shd w:val="clear" w:color="auto" w:fill="FFFFFF"/>
          </w:tcPr>
          <w:p>
            <w:pPr>
              <w:jc w:val="center"/>
            </w:pPr>
            <w:r>
              <w:rPr>
                <w:sz w:val="18"/>
              </w:rPr>
              <w:t>$1,837,016</w:t>
            </w:r>
          </w:p>
        </w:tc>
        <w:tc>
          <w:tcPr>
            <w:tcW w:type="dxa" w:w="1814"/>
            <w:shd w:val="clear" w:color="auto" w:fill="FFFFFF"/>
          </w:tcPr>
          <w:p>
            <w:pPr>
              <w:jc w:val="center"/>
            </w:pPr>
            <w:r>
              <w:rPr>
                <w:sz w:val="18"/>
              </w:rPr>
              <w:t>3,087</w:t>
            </w:r>
          </w:p>
        </w:tc>
        <w:tc>
          <w:tcPr>
            <w:tcW w:type="dxa" w:w="1814"/>
            <w:shd w:val="clear" w:color="auto" w:fill="FFFFFF"/>
          </w:tcPr>
          <w:p>
            <w:pPr>
              <w:jc w:val="center"/>
            </w:pPr>
            <w:r>
              <w:rPr>
                <w:sz w:val="18"/>
              </w:rPr>
              <w:t>36.16</w:t>
            </w:r>
          </w:p>
        </w:tc>
      </w:tr>
      <w:tr>
        <w:tc>
          <w:tcPr>
            <w:tcW w:type="dxa" w:w="1814"/>
            <w:shd w:val="clear" w:color="auto" w:fill="F7F8FA"/>
          </w:tcPr>
          <w:p>
            <w:pPr>
              <w:jc w:val="center"/>
            </w:pPr>
            <w:r>
              <w:rPr>
                <w:sz w:val="18"/>
              </w:rPr>
              <w:t>Asus</w:t>
            </w:r>
          </w:p>
        </w:tc>
        <w:tc>
          <w:tcPr>
            <w:tcW w:type="dxa" w:w="1814"/>
            <w:shd w:val="clear" w:color="auto" w:fill="F7F8FA"/>
          </w:tcPr>
          <w:p>
            <w:pPr>
              <w:jc w:val="center"/>
            </w:pPr>
            <w:r>
              <w:rPr>
                <w:sz w:val="18"/>
              </w:rPr>
              <w:t>$4,831,789</w:t>
            </w:r>
          </w:p>
        </w:tc>
        <w:tc>
          <w:tcPr>
            <w:tcW w:type="dxa" w:w="1814"/>
            <w:shd w:val="clear" w:color="auto" w:fill="F7F8FA"/>
          </w:tcPr>
          <w:p>
            <w:pPr>
              <w:jc w:val="center"/>
            </w:pPr>
            <w:r>
              <w:rPr>
                <w:sz w:val="18"/>
              </w:rPr>
              <w:t>$1,615,393</w:t>
            </w:r>
          </w:p>
        </w:tc>
        <w:tc>
          <w:tcPr>
            <w:tcW w:type="dxa" w:w="1814"/>
            <w:shd w:val="clear" w:color="auto" w:fill="F7F8FA"/>
          </w:tcPr>
          <w:p>
            <w:pPr>
              <w:jc w:val="center"/>
            </w:pPr>
            <w:r>
              <w:rPr>
                <w:sz w:val="18"/>
              </w:rPr>
              <w:t>2,347</w:t>
            </w:r>
          </w:p>
        </w:tc>
        <w:tc>
          <w:tcPr>
            <w:tcW w:type="dxa" w:w="1814"/>
            <w:shd w:val="clear" w:color="auto" w:fill="F7F8FA"/>
          </w:tcPr>
          <w:p>
            <w:pPr>
              <w:jc w:val="center"/>
            </w:pPr>
            <w:r>
              <w:rPr>
                <w:sz w:val="18"/>
              </w:rPr>
              <w:t>33.43</w:t>
            </w:r>
          </w:p>
        </w:tc>
      </w:tr>
      <w:tr>
        <w:tc>
          <w:tcPr>
            <w:tcW w:type="dxa" w:w="1814"/>
            <w:shd w:val="clear" w:color="auto" w:fill="FFFFFF"/>
          </w:tcPr>
          <w:p>
            <w:pPr>
              <w:jc w:val="center"/>
            </w:pPr>
            <w:r>
              <w:rPr>
                <w:sz w:val="18"/>
              </w:rPr>
              <w:t>HP</w:t>
            </w:r>
          </w:p>
        </w:tc>
        <w:tc>
          <w:tcPr>
            <w:tcW w:type="dxa" w:w="1814"/>
            <w:shd w:val="clear" w:color="auto" w:fill="FFFFFF"/>
          </w:tcPr>
          <w:p>
            <w:pPr>
              <w:jc w:val="center"/>
            </w:pPr>
            <w:r>
              <w:rPr>
                <w:sz w:val="18"/>
              </w:rPr>
              <w:t>$4,550,295</w:t>
            </w:r>
          </w:p>
        </w:tc>
        <w:tc>
          <w:tcPr>
            <w:tcW w:type="dxa" w:w="1814"/>
            <w:shd w:val="clear" w:color="auto" w:fill="FFFFFF"/>
          </w:tcPr>
          <w:p>
            <w:pPr>
              <w:jc w:val="center"/>
            </w:pPr>
            <w:r>
              <w:rPr>
                <w:sz w:val="18"/>
              </w:rPr>
              <w:t>$1,673,771</w:t>
            </w:r>
          </w:p>
        </w:tc>
        <w:tc>
          <w:tcPr>
            <w:tcW w:type="dxa" w:w="1814"/>
            <w:shd w:val="clear" w:color="auto" w:fill="FFFFFF"/>
          </w:tcPr>
          <w:p>
            <w:pPr>
              <w:jc w:val="center"/>
            </w:pPr>
            <w:r>
              <w:rPr>
                <w:sz w:val="18"/>
              </w:rPr>
              <w:t>3,336</w:t>
            </w:r>
          </w:p>
        </w:tc>
        <w:tc>
          <w:tcPr>
            <w:tcW w:type="dxa" w:w="1814"/>
            <w:shd w:val="clear" w:color="auto" w:fill="FFFFFF"/>
          </w:tcPr>
          <w:p>
            <w:pPr>
              <w:jc w:val="center"/>
            </w:pPr>
            <w:r>
              <w:rPr>
                <w:sz w:val="18"/>
              </w:rPr>
              <w:t>36.78</w:t>
            </w:r>
          </w:p>
        </w:tc>
      </w:tr>
      <w:tr>
        <w:tc>
          <w:tcPr>
            <w:tcW w:type="dxa" w:w="1814"/>
            <w:shd w:val="clear" w:color="auto" w:fill="F7F8FA"/>
          </w:tcPr>
          <w:p>
            <w:pPr>
              <w:jc w:val="center"/>
            </w:pPr>
            <w:r>
              <w:rPr>
                <w:sz w:val="18"/>
              </w:rPr>
              <w:t>David Yurman</w:t>
            </w:r>
          </w:p>
        </w:tc>
        <w:tc>
          <w:tcPr>
            <w:tcW w:type="dxa" w:w="1814"/>
            <w:shd w:val="clear" w:color="auto" w:fill="F7F8FA"/>
          </w:tcPr>
          <w:p>
            <w:pPr>
              <w:jc w:val="center"/>
            </w:pPr>
            <w:r>
              <w:rPr>
                <w:sz w:val="18"/>
              </w:rPr>
              <w:t>$4,466,981</w:t>
            </w:r>
          </w:p>
        </w:tc>
        <w:tc>
          <w:tcPr>
            <w:tcW w:type="dxa" w:w="1814"/>
            <w:shd w:val="clear" w:color="auto" w:fill="F7F8FA"/>
          </w:tcPr>
          <w:p>
            <w:pPr>
              <w:jc w:val="center"/>
            </w:pPr>
            <w:r>
              <w:rPr>
                <w:sz w:val="18"/>
              </w:rPr>
              <w:t>$1,836,746</w:t>
            </w:r>
          </w:p>
        </w:tc>
        <w:tc>
          <w:tcPr>
            <w:tcW w:type="dxa" w:w="1814"/>
            <w:shd w:val="clear" w:color="auto" w:fill="F7F8FA"/>
          </w:tcPr>
          <w:p>
            <w:pPr>
              <w:jc w:val="center"/>
            </w:pPr>
            <w:r>
              <w:rPr>
                <w:sz w:val="18"/>
              </w:rPr>
              <w:t>3,732</w:t>
            </w:r>
          </w:p>
        </w:tc>
        <w:tc>
          <w:tcPr>
            <w:tcW w:type="dxa" w:w="1814"/>
            <w:shd w:val="clear" w:color="auto" w:fill="F7F8FA"/>
          </w:tcPr>
          <w:p>
            <w:pPr>
              <w:jc w:val="center"/>
            </w:pPr>
            <w:r>
              <w:rPr>
                <w:sz w:val="18"/>
              </w:rPr>
              <w:t>41.12</w:t>
            </w:r>
          </w:p>
        </w:tc>
      </w:tr>
      <w:tr>
        <w:tc>
          <w:tcPr>
            <w:tcW w:type="dxa" w:w="1814"/>
            <w:shd w:val="clear" w:color="auto" w:fill="FFFFFF"/>
          </w:tcPr>
          <w:p>
            <w:pPr>
              <w:jc w:val="center"/>
            </w:pPr>
            <w:r>
              <w:rPr>
                <w:sz w:val="18"/>
              </w:rPr>
              <w:t>Whirlpool</w:t>
            </w:r>
          </w:p>
        </w:tc>
        <w:tc>
          <w:tcPr>
            <w:tcW w:type="dxa" w:w="1814"/>
            <w:shd w:val="clear" w:color="auto" w:fill="FFFFFF"/>
          </w:tcPr>
          <w:p>
            <w:pPr>
              <w:jc w:val="center"/>
            </w:pPr>
            <w:r>
              <w:rPr>
                <w:sz w:val="18"/>
              </w:rPr>
              <w:t>$4,072,968</w:t>
            </w:r>
          </w:p>
        </w:tc>
        <w:tc>
          <w:tcPr>
            <w:tcW w:type="dxa" w:w="1814"/>
            <w:shd w:val="clear" w:color="auto" w:fill="FFFFFF"/>
          </w:tcPr>
          <w:p>
            <w:pPr>
              <w:jc w:val="center"/>
            </w:pPr>
            <w:r>
              <w:rPr>
                <w:sz w:val="18"/>
              </w:rPr>
              <w:t>$1,697,538</w:t>
            </w:r>
          </w:p>
        </w:tc>
        <w:tc>
          <w:tcPr>
            <w:tcW w:type="dxa" w:w="1814"/>
            <w:shd w:val="clear" w:color="auto" w:fill="FFFFFF"/>
          </w:tcPr>
          <w:p>
            <w:pPr>
              <w:jc w:val="center"/>
            </w:pPr>
            <w:r>
              <w:rPr>
                <w:sz w:val="18"/>
              </w:rPr>
              <w:t>3,995</w:t>
            </w:r>
          </w:p>
        </w:tc>
        <w:tc>
          <w:tcPr>
            <w:tcW w:type="dxa" w:w="1814"/>
            <w:shd w:val="clear" w:color="auto" w:fill="FFFFFF"/>
          </w:tcPr>
          <w:p>
            <w:pPr>
              <w:jc w:val="center"/>
            </w:pPr>
            <w:r>
              <w:rPr>
                <w:sz w:val="18"/>
              </w:rPr>
              <w:t>41.68</w:t>
            </w:r>
          </w:p>
        </w:tc>
      </w:tr>
      <w:tr>
        <w:tc>
          <w:tcPr>
            <w:tcW w:type="dxa" w:w="1814"/>
            <w:shd w:val="clear" w:color="auto" w:fill="F7F8FA"/>
          </w:tcPr>
          <w:p>
            <w:pPr>
              <w:jc w:val="center"/>
            </w:pPr>
            <w:r>
              <w:rPr>
                <w:sz w:val="18"/>
              </w:rPr>
              <w:t>Pandora</w:t>
            </w:r>
          </w:p>
        </w:tc>
        <w:tc>
          <w:tcPr>
            <w:tcW w:type="dxa" w:w="1814"/>
            <w:shd w:val="clear" w:color="auto" w:fill="F7F8FA"/>
          </w:tcPr>
          <w:p>
            <w:pPr>
              <w:jc w:val="center"/>
            </w:pPr>
            <w:r>
              <w:rPr>
                <w:sz w:val="18"/>
              </w:rPr>
              <w:t>$3,798,505</w:t>
            </w:r>
          </w:p>
        </w:tc>
        <w:tc>
          <w:tcPr>
            <w:tcW w:type="dxa" w:w="1814"/>
            <w:shd w:val="clear" w:color="auto" w:fill="F7F8FA"/>
          </w:tcPr>
          <w:p>
            <w:pPr>
              <w:jc w:val="center"/>
            </w:pPr>
            <w:r>
              <w:rPr>
                <w:sz w:val="18"/>
              </w:rPr>
              <w:t>$1,565,689</w:t>
            </w:r>
          </w:p>
        </w:tc>
        <w:tc>
          <w:tcPr>
            <w:tcW w:type="dxa" w:w="1814"/>
            <w:shd w:val="clear" w:color="auto" w:fill="F7F8FA"/>
          </w:tcPr>
          <w:p>
            <w:pPr>
              <w:jc w:val="center"/>
            </w:pPr>
            <w:r>
              <w:rPr>
                <w:sz w:val="18"/>
              </w:rPr>
              <w:t>3,409</w:t>
            </w:r>
          </w:p>
        </w:tc>
        <w:tc>
          <w:tcPr>
            <w:tcW w:type="dxa" w:w="1814"/>
            <w:shd w:val="clear" w:color="auto" w:fill="F7F8FA"/>
          </w:tcPr>
          <w:p>
            <w:pPr>
              <w:jc w:val="center"/>
            </w:pPr>
            <w:r>
              <w:rPr>
                <w:sz w:val="18"/>
              </w:rPr>
              <w:t>41.22</w:t>
            </w:r>
          </w:p>
        </w:tc>
      </w:tr>
      <w:tr>
        <w:tc>
          <w:tcPr>
            <w:tcW w:type="dxa" w:w="1814"/>
            <w:shd w:val="clear" w:color="auto" w:fill="FFFFFF"/>
          </w:tcPr>
          <w:p>
            <w:pPr>
              <w:jc w:val="center"/>
            </w:pPr>
            <w:r>
              <w:rPr>
                <w:sz w:val="18"/>
              </w:rPr>
              <w:t>Sony</w:t>
            </w:r>
          </w:p>
        </w:tc>
        <w:tc>
          <w:tcPr>
            <w:tcW w:type="dxa" w:w="1814"/>
            <w:shd w:val="clear" w:color="auto" w:fill="FFFFFF"/>
          </w:tcPr>
          <w:p>
            <w:pPr>
              <w:jc w:val="center"/>
            </w:pPr>
            <w:r>
              <w:rPr>
                <w:sz w:val="18"/>
              </w:rPr>
              <w:t>$3,759,521</w:t>
            </w:r>
          </w:p>
        </w:tc>
        <w:tc>
          <w:tcPr>
            <w:tcW w:type="dxa" w:w="1814"/>
            <w:shd w:val="clear" w:color="auto" w:fill="FFFFFF"/>
          </w:tcPr>
          <w:p>
            <w:pPr>
              <w:jc w:val="center"/>
            </w:pPr>
            <w:r>
              <w:rPr>
                <w:sz w:val="18"/>
              </w:rPr>
              <w:t>$1,203,747</w:t>
            </w:r>
          </w:p>
        </w:tc>
        <w:tc>
          <w:tcPr>
            <w:tcW w:type="dxa" w:w="1814"/>
            <w:shd w:val="clear" w:color="auto" w:fill="FFFFFF"/>
          </w:tcPr>
          <w:p>
            <w:pPr>
              <w:jc w:val="center"/>
            </w:pPr>
            <w:r>
              <w:rPr>
                <w:sz w:val="18"/>
              </w:rPr>
              <w:t>2,043</w:t>
            </w:r>
          </w:p>
        </w:tc>
        <w:tc>
          <w:tcPr>
            <w:tcW w:type="dxa" w:w="1814"/>
            <w:shd w:val="clear" w:color="auto" w:fill="FFFFFF"/>
          </w:tcPr>
          <w:p>
            <w:pPr>
              <w:jc w:val="center"/>
            </w:pPr>
            <w:r>
              <w:rPr>
                <w:sz w:val="18"/>
              </w:rPr>
              <w:t>32.02</w:t>
            </w:r>
          </w:p>
        </w:tc>
      </w:tr>
      <w:tr>
        <w:tc>
          <w:tcPr>
            <w:tcW w:type="dxa" w:w="1814"/>
            <w:shd w:val="clear" w:color="auto" w:fill="F7F8FA"/>
          </w:tcPr>
          <w:p>
            <w:pPr>
              <w:jc w:val="center"/>
            </w:pPr>
            <w:r>
              <w:rPr>
                <w:sz w:val="18"/>
              </w:rPr>
              <w:t>Dyson</w:t>
            </w:r>
          </w:p>
        </w:tc>
        <w:tc>
          <w:tcPr>
            <w:tcW w:type="dxa" w:w="1814"/>
            <w:shd w:val="clear" w:color="auto" w:fill="F7F8FA"/>
          </w:tcPr>
          <w:p>
            <w:pPr>
              <w:jc w:val="center"/>
            </w:pPr>
            <w:r>
              <w:rPr>
                <w:sz w:val="18"/>
              </w:rPr>
              <w:t>$3,571,671</w:t>
            </w:r>
          </w:p>
        </w:tc>
        <w:tc>
          <w:tcPr>
            <w:tcW w:type="dxa" w:w="1814"/>
            <w:shd w:val="clear" w:color="auto" w:fill="F7F8FA"/>
          </w:tcPr>
          <w:p>
            <w:pPr>
              <w:jc w:val="center"/>
            </w:pPr>
            <w:r>
              <w:rPr>
                <w:sz w:val="18"/>
              </w:rPr>
              <w:t>$1,456,892</w:t>
            </w:r>
          </w:p>
        </w:tc>
        <w:tc>
          <w:tcPr>
            <w:tcW w:type="dxa" w:w="1814"/>
            <w:shd w:val="clear" w:color="auto" w:fill="F7F8FA"/>
          </w:tcPr>
          <w:p>
            <w:pPr>
              <w:jc w:val="center"/>
            </w:pPr>
            <w:r>
              <w:rPr>
                <w:sz w:val="18"/>
              </w:rPr>
              <w:t>3,318</w:t>
            </w:r>
          </w:p>
        </w:tc>
        <w:tc>
          <w:tcPr>
            <w:tcW w:type="dxa" w:w="1814"/>
            <w:shd w:val="clear" w:color="auto" w:fill="F7F8FA"/>
          </w:tcPr>
          <w:p>
            <w:pPr>
              <w:jc w:val="center"/>
            </w:pPr>
            <w:r>
              <w:rPr>
                <w:sz w:val="18"/>
              </w:rPr>
              <w:t>40.79</w:t>
            </w:r>
          </w:p>
        </w:tc>
      </w:tr>
    </w:tbl>
    <w:p/>
    <w:p>
      <w:r>
        <w:br w:type="page"/>
      </w:r>
    </w:p>
    <w:p>
      <w:pPr>
        <w:pStyle w:val="Heading1"/>
        <w:jc w:val="left"/>
      </w:pPr>
      <w:r>
        <w:rPr>
          <w:color w:val="3B82D4"/>
        </w:rPr>
        <w:t>7. Customer Analytics</w:t>
      </w:r>
    </w:p>
    <w:p>
      <w:pPr>
        <w:pStyle w:val="Heading2"/>
        <w:jc w:val="left"/>
      </w:pPr>
      <w:r>
        <w:rPr>
          <w:color w:val="1F2328"/>
        </w:rPr>
        <w:t>7.1 Customer Segment Analysis</w:t>
      </w:r>
    </w:p>
    <w:p>
      <w:pPr>
        <w:jc w:val="left"/>
      </w:pPr>
      <w:r>
        <w:rPr>
          <w:b w:val="0"/>
          <w:color w:val="1F2328"/>
          <w:sz w:val="22"/>
        </w:rPr>
        <w:t>Customers are segmented into Consumer, Premium, and VIP tiers. Revenue, profit, and average order value vary significantly across segments, informing targeted promotions.</w:t>
      </w:r>
    </w:p>
    <w:p>
      <w:pPr>
        <w:jc w:val="center"/>
      </w:pPr>
      <w:r>
        <w:drawing>
          <wp:inline xmlns:a="http://schemas.openxmlformats.org/drawingml/2006/main" xmlns:pic="http://schemas.openxmlformats.org/drawingml/2006/picture">
            <wp:extent cx="5303520" cy="261371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613718"/>
                    </a:xfrm>
                    <a:prstGeom prst="rect"/>
                  </pic:spPr>
                </pic:pic>
              </a:graphicData>
            </a:graphic>
          </wp:inline>
        </w:drawing>
      </w:r>
    </w:p>
    <w:p>
      <w:pPr>
        <w:jc w:val="center"/>
      </w:pPr>
      <w:r>
        <w:rPr>
          <w:i/>
          <w:color w:val="57606A"/>
          <w:sz w:val="18"/>
        </w:rPr>
        <w:t>Figure 7: Revenue &amp; Profit by Customer Segment</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3b82d4"/>
          </w:tcPr>
          <w:p>
            <w:pPr>
              <w:jc w:val="center"/>
            </w:pPr>
            <w:r>
              <w:rPr>
                <w:b/>
                <w:color w:val="FFFFFF"/>
                <w:sz w:val="18"/>
              </w:rPr>
              <w:t>Segment</w:t>
            </w:r>
          </w:p>
        </w:tc>
        <w:tc>
          <w:tcPr>
            <w:tcW w:type="dxa" w:w="1134"/>
            <w:shd w:val="clear" w:color="auto" w:fill="3b82d4"/>
          </w:tcPr>
          <w:p>
            <w:pPr>
              <w:jc w:val="center"/>
            </w:pPr>
            <w:r>
              <w:rPr>
                <w:b/>
                <w:color w:val="FFFFFF"/>
                <w:sz w:val="18"/>
              </w:rPr>
              <w:t>Customers</w:t>
            </w:r>
          </w:p>
        </w:tc>
        <w:tc>
          <w:tcPr>
            <w:tcW w:type="dxa" w:w="1134"/>
            <w:shd w:val="clear" w:color="auto" w:fill="3b82d4"/>
          </w:tcPr>
          <w:p>
            <w:pPr>
              <w:jc w:val="center"/>
            </w:pPr>
            <w:r>
              <w:rPr>
                <w:b/>
                <w:color w:val="FFFFFF"/>
                <w:sz w:val="18"/>
              </w:rPr>
              <w:t>Orders</w:t>
            </w:r>
          </w:p>
        </w:tc>
        <w:tc>
          <w:tcPr>
            <w:tcW w:type="dxa" w:w="1134"/>
            <w:shd w:val="clear" w:color="auto" w:fill="3b82d4"/>
          </w:tcPr>
          <w:p>
            <w:pPr>
              <w:jc w:val="center"/>
            </w:pPr>
            <w:r>
              <w:rPr>
                <w:b/>
                <w:color w:val="FFFFFF"/>
                <w:sz w:val="18"/>
              </w:rPr>
              <w:t>Revenue</w:t>
            </w:r>
          </w:p>
        </w:tc>
        <w:tc>
          <w:tcPr>
            <w:tcW w:type="dxa" w:w="1134"/>
            <w:shd w:val="clear" w:color="auto" w:fill="3b82d4"/>
          </w:tcPr>
          <w:p>
            <w:pPr>
              <w:jc w:val="center"/>
            </w:pPr>
            <w:r>
              <w:rPr>
                <w:b/>
                <w:color w:val="FFFFFF"/>
                <w:sz w:val="18"/>
              </w:rPr>
              <w:t>Profit</w:t>
            </w:r>
          </w:p>
        </w:tc>
        <w:tc>
          <w:tcPr>
            <w:tcW w:type="dxa" w:w="1134"/>
            <w:shd w:val="clear" w:color="auto" w:fill="3b82d4"/>
          </w:tcPr>
          <w:p>
            <w:pPr>
              <w:jc w:val="center"/>
            </w:pPr>
            <w:r>
              <w:rPr>
                <w:b/>
                <w:color w:val="FFFFFF"/>
                <w:sz w:val="18"/>
              </w:rPr>
              <w:t>AOV</w:t>
            </w:r>
          </w:p>
        </w:tc>
        <w:tc>
          <w:tcPr>
            <w:tcW w:type="dxa" w:w="1134"/>
            <w:shd w:val="clear" w:color="auto" w:fill="3b82d4"/>
          </w:tcPr>
          <w:p>
            <w:pPr>
              <w:jc w:val="center"/>
            </w:pPr>
            <w:r>
              <w:rPr>
                <w:b/>
                <w:color w:val="FFFFFF"/>
                <w:sz w:val="18"/>
              </w:rPr>
              <w:t>Avg Rating</w:t>
            </w:r>
          </w:p>
        </w:tc>
        <w:tc>
          <w:tcPr>
            <w:tcW w:type="dxa" w:w="1134"/>
            <w:shd w:val="clear" w:color="auto" w:fill="3b82d4"/>
          </w:tcPr>
          <w:p>
            <w:pPr>
              <w:jc w:val="center"/>
            </w:pPr>
            <w:r>
              <w:rPr>
                <w:b/>
                <w:color w:val="FFFFFF"/>
                <w:sz w:val="18"/>
              </w:rPr>
              <w:t>Margin %</w:t>
            </w:r>
          </w:p>
        </w:tc>
      </w:tr>
      <w:tr>
        <w:tc>
          <w:tcPr>
            <w:tcW w:type="dxa" w:w="1134"/>
            <w:shd w:val="clear" w:color="auto" w:fill="FFFFFF"/>
          </w:tcPr>
          <w:p>
            <w:pPr>
              <w:jc w:val="center"/>
            </w:pPr>
            <w:r>
              <w:rPr>
                <w:sz w:val="18"/>
              </w:rPr>
              <w:t>Business</w:t>
            </w:r>
          </w:p>
        </w:tc>
        <w:tc>
          <w:tcPr>
            <w:tcW w:type="dxa" w:w="1134"/>
            <w:shd w:val="clear" w:color="auto" w:fill="FFFFFF"/>
          </w:tcPr>
          <w:p>
            <w:pPr>
              <w:jc w:val="center"/>
            </w:pPr>
            <w:r>
              <w:rPr>
                <w:sz w:val="18"/>
              </w:rPr>
              <w:t>2515</w:t>
            </w:r>
          </w:p>
        </w:tc>
        <w:tc>
          <w:tcPr>
            <w:tcW w:type="dxa" w:w="1134"/>
            <w:shd w:val="clear" w:color="auto" w:fill="FFFFFF"/>
          </w:tcPr>
          <w:p>
            <w:pPr>
              <w:jc w:val="center"/>
            </w:pPr>
            <w:r>
              <w:rPr>
                <w:sz w:val="18"/>
              </w:rPr>
              <w:t>13777</w:t>
            </w:r>
          </w:p>
        </w:tc>
        <w:tc>
          <w:tcPr>
            <w:tcW w:type="dxa" w:w="1134"/>
            <w:shd w:val="clear" w:color="auto" w:fill="FFFFFF"/>
          </w:tcPr>
          <w:p>
            <w:pPr>
              <w:jc w:val="center"/>
            </w:pPr>
            <w:r>
              <w:rPr>
                <w:sz w:val="18"/>
              </w:rPr>
              <w:t>$17,760,297</w:t>
            </w:r>
          </w:p>
        </w:tc>
        <w:tc>
          <w:tcPr>
            <w:tcW w:type="dxa" w:w="1134"/>
            <w:shd w:val="clear" w:color="auto" w:fill="FFFFFF"/>
          </w:tcPr>
          <w:p>
            <w:pPr>
              <w:jc w:val="center"/>
            </w:pPr>
            <w:r>
              <w:rPr>
                <w:sz w:val="18"/>
              </w:rPr>
              <w:t>$7,782,525</w:t>
            </w:r>
          </w:p>
        </w:tc>
        <w:tc>
          <w:tcPr>
            <w:tcW w:type="dxa" w:w="1134"/>
            <w:shd w:val="clear" w:color="auto" w:fill="FFFFFF"/>
          </w:tcPr>
          <w:p>
            <w:pPr>
              <w:jc w:val="center"/>
            </w:pPr>
            <w:r>
              <w:rPr>
                <w:sz w:val="18"/>
              </w:rPr>
              <w:t>$1,289.13</w:t>
            </w:r>
          </w:p>
        </w:tc>
        <w:tc>
          <w:tcPr>
            <w:tcW w:type="dxa" w:w="1134"/>
            <w:shd w:val="clear" w:color="auto" w:fill="FFFFFF"/>
          </w:tcPr>
          <w:p>
            <w:pPr>
              <w:jc w:val="center"/>
            </w:pPr>
            <w:r>
              <w:rPr>
                <w:sz w:val="18"/>
              </w:rPr>
              <w:t>3.63</w:t>
            </w:r>
          </w:p>
        </w:tc>
        <w:tc>
          <w:tcPr>
            <w:tcW w:type="dxa" w:w="1134"/>
            <w:shd w:val="clear" w:color="auto" w:fill="FFFFFF"/>
          </w:tcPr>
          <w:p>
            <w:pPr>
              <w:jc w:val="center"/>
            </w:pPr>
            <w:r>
              <w:rPr>
                <w:sz w:val="18"/>
              </w:rPr>
              <w:t>43.82</w:t>
            </w:r>
          </w:p>
        </w:tc>
      </w:tr>
      <w:tr>
        <w:tc>
          <w:tcPr>
            <w:tcW w:type="dxa" w:w="1134"/>
            <w:shd w:val="clear" w:color="auto" w:fill="F7F8FA"/>
          </w:tcPr>
          <w:p>
            <w:pPr>
              <w:jc w:val="center"/>
            </w:pPr>
            <w:r>
              <w:rPr>
                <w:sz w:val="18"/>
              </w:rPr>
              <w:t>Consumer</w:t>
            </w:r>
          </w:p>
        </w:tc>
        <w:tc>
          <w:tcPr>
            <w:tcW w:type="dxa" w:w="1134"/>
            <w:shd w:val="clear" w:color="auto" w:fill="F7F8FA"/>
          </w:tcPr>
          <w:p>
            <w:pPr>
              <w:jc w:val="center"/>
            </w:pPr>
            <w:r>
              <w:rPr>
                <w:sz w:val="18"/>
              </w:rPr>
              <w:t>13585</w:t>
            </w:r>
          </w:p>
        </w:tc>
        <w:tc>
          <w:tcPr>
            <w:tcW w:type="dxa" w:w="1134"/>
            <w:shd w:val="clear" w:color="auto" w:fill="F7F8FA"/>
          </w:tcPr>
          <w:p>
            <w:pPr>
              <w:jc w:val="center"/>
            </w:pPr>
            <w:r>
              <w:rPr>
                <w:sz w:val="18"/>
              </w:rPr>
              <w:t>75636</w:t>
            </w:r>
          </w:p>
        </w:tc>
        <w:tc>
          <w:tcPr>
            <w:tcW w:type="dxa" w:w="1134"/>
            <w:shd w:val="clear" w:color="auto" w:fill="F7F8FA"/>
          </w:tcPr>
          <w:p>
            <w:pPr>
              <w:jc w:val="center"/>
            </w:pPr>
            <w:r>
              <w:rPr>
                <w:sz w:val="18"/>
              </w:rPr>
              <w:t>$97,201,008</w:t>
            </w:r>
          </w:p>
        </w:tc>
        <w:tc>
          <w:tcPr>
            <w:tcW w:type="dxa" w:w="1134"/>
            <w:shd w:val="clear" w:color="auto" w:fill="F7F8FA"/>
          </w:tcPr>
          <w:p>
            <w:pPr>
              <w:jc w:val="center"/>
            </w:pPr>
            <w:r>
              <w:rPr>
                <w:sz w:val="18"/>
              </w:rPr>
              <w:t>$42,819,790</w:t>
            </w:r>
          </w:p>
        </w:tc>
        <w:tc>
          <w:tcPr>
            <w:tcW w:type="dxa" w:w="1134"/>
            <w:shd w:val="clear" w:color="auto" w:fill="F7F8FA"/>
          </w:tcPr>
          <w:p>
            <w:pPr>
              <w:jc w:val="center"/>
            </w:pPr>
            <w:r>
              <w:rPr>
                <w:sz w:val="18"/>
              </w:rPr>
              <w:t>$1,285.12</w:t>
            </w:r>
          </w:p>
        </w:tc>
        <w:tc>
          <w:tcPr>
            <w:tcW w:type="dxa" w:w="1134"/>
            <w:shd w:val="clear" w:color="auto" w:fill="F7F8FA"/>
          </w:tcPr>
          <w:p>
            <w:pPr>
              <w:jc w:val="center"/>
            </w:pPr>
            <w:r>
              <w:rPr>
                <w:sz w:val="18"/>
              </w:rPr>
              <w:t>3.63</w:t>
            </w:r>
          </w:p>
        </w:tc>
        <w:tc>
          <w:tcPr>
            <w:tcW w:type="dxa" w:w="1134"/>
            <w:shd w:val="clear" w:color="auto" w:fill="F7F8FA"/>
          </w:tcPr>
          <w:p>
            <w:pPr>
              <w:jc w:val="center"/>
            </w:pPr>
            <w:r>
              <w:rPr>
                <w:sz w:val="18"/>
              </w:rPr>
              <w:t>44.05</w:t>
            </w:r>
          </w:p>
        </w:tc>
      </w:tr>
      <w:tr>
        <w:tc>
          <w:tcPr>
            <w:tcW w:type="dxa" w:w="1134"/>
            <w:shd w:val="clear" w:color="auto" w:fill="FFFFFF"/>
          </w:tcPr>
          <w:p>
            <w:pPr>
              <w:jc w:val="center"/>
            </w:pPr>
            <w:r>
              <w:rPr>
                <w:sz w:val="18"/>
              </w:rPr>
              <w:t>Premium</w:t>
            </w:r>
          </w:p>
        </w:tc>
        <w:tc>
          <w:tcPr>
            <w:tcW w:type="dxa" w:w="1134"/>
            <w:shd w:val="clear" w:color="auto" w:fill="FFFFFF"/>
          </w:tcPr>
          <w:p>
            <w:pPr>
              <w:jc w:val="center"/>
            </w:pPr>
            <w:r>
              <w:rPr>
                <w:sz w:val="18"/>
              </w:rPr>
              <w:t>6275</w:t>
            </w:r>
          </w:p>
        </w:tc>
        <w:tc>
          <w:tcPr>
            <w:tcW w:type="dxa" w:w="1134"/>
            <w:shd w:val="clear" w:color="auto" w:fill="FFFFFF"/>
          </w:tcPr>
          <w:p>
            <w:pPr>
              <w:jc w:val="center"/>
            </w:pPr>
            <w:r>
              <w:rPr>
                <w:sz w:val="18"/>
              </w:rPr>
              <w:t>34746</w:t>
            </w:r>
          </w:p>
        </w:tc>
        <w:tc>
          <w:tcPr>
            <w:tcW w:type="dxa" w:w="1134"/>
            <w:shd w:val="clear" w:color="auto" w:fill="FFFFFF"/>
          </w:tcPr>
          <w:p>
            <w:pPr>
              <w:jc w:val="center"/>
            </w:pPr>
            <w:r>
              <w:rPr>
                <w:sz w:val="18"/>
              </w:rPr>
              <w:t>$44,269,794</w:t>
            </w:r>
          </w:p>
        </w:tc>
        <w:tc>
          <w:tcPr>
            <w:tcW w:type="dxa" w:w="1134"/>
            <w:shd w:val="clear" w:color="auto" w:fill="FFFFFF"/>
          </w:tcPr>
          <w:p>
            <w:pPr>
              <w:jc w:val="center"/>
            </w:pPr>
            <w:r>
              <w:rPr>
                <w:sz w:val="18"/>
              </w:rPr>
              <w:t>$18,177,728</w:t>
            </w:r>
          </w:p>
        </w:tc>
        <w:tc>
          <w:tcPr>
            <w:tcW w:type="dxa" w:w="1134"/>
            <w:shd w:val="clear" w:color="auto" w:fill="FFFFFF"/>
          </w:tcPr>
          <w:p>
            <w:pPr>
              <w:jc w:val="center"/>
            </w:pPr>
            <w:r>
              <w:rPr>
                <w:sz w:val="18"/>
              </w:rPr>
              <w:t>$1,274.10</w:t>
            </w:r>
          </w:p>
        </w:tc>
        <w:tc>
          <w:tcPr>
            <w:tcW w:type="dxa" w:w="1134"/>
            <w:shd w:val="clear" w:color="auto" w:fill="FFFFFF"/>
          </w:tcPr>
          <w:p>
            <w:pPr>
              <w:jc w:val="center"/>
            </w:pPr>
            <w:r>
              <w:rPr>
                <w:sz w:val="18"/>
              </w:rPr>
              <w:t>3.73</w:t>
            </w:r>
          </w:p>
        </w:tc>
        <w:tc>
          <w:tcPr>
            <w:tcW w:type="dxa" w:w="1134"/>
            <w:shd w:val="clear" w:color="auto" w:fill="FFFFFF"/>
          </w:tcPr>
          <w:p>
            <w:pPr>
              <w:jc w:val="center"/>
            </w:pPr>
            <w:r>
              <w:rPr>
                <w:sz w:val="18"/>
              </w:rPr>
              <w:t>41.06</w:t>
            </w:r>
          </w:p>
        </w:tc>
      </w:tr>
      <w:tr>
        <w:tc>
          <w:tcPr>
            <w:tcW w:type="dxa" w:w="1134"/>
            <w:shd w:val="clear" w:color="auto" w:fill="F7F8FA"/>
          </w:tcPr>
          <w:p>
            <w:pPr>
              <w:jc w:val="center"/>
            </w:pPr>
            <w:r>
              <w:rPr>
                <w:sz w:val="18"/>
              </w:rPr>
              <w:t>VIP</w:t>
            </w:r>
          </w:p>
        </w:tc>
        <w:tc>
          <w:tcPr>
            <w:tcW w:type="dxa" w:w="1134"/>
            <w:shd w:val="clear" w:color="auto" w:fill="F7F8FA"/>
          </w:tcPr>
          <w:p>
            <w:pPr>
              <w:jc w:val="center"/>
            </w:pPr>
            <w:r>
              <w:rPr>
                <w:sz w:val="18"/>
              </w:rPr>
              <w:t>2536</w:t>
            </w:r>
          </w:p>
        </w:tc>
        <w:tc>
          <w:tcPr>
            <w:tcW w:type="dxa" w:w="1134"/>
            <w:shd w:val="clear" w:color="auto" w:fill="F7F8FA"/>
          </w:tcPr>
          <w:p>
            <w:pPr>
              <w:jc w:val="center"/>
            </w:pPr>
            <w:r>
              <w:rPr>
                <w:sz w:val="18"/>
              </w:rPr>
              <w:t>13957</w:t>
            </w:r>
          </w:p>
        </w:tc>
        <w:tc>
          <w:tcPr>
            <w:tcW w:type="dxa" w:w="1134"/>
            <w:shd w:val="clear" w:color="auto" w:fill="F7F8FA"/>
          </w:tcPr>
          <w:p>
            <w:pPr>
              <w:jc w:val="center"/>
            </w:pPr>
            <w:r>
              <w:rPr>
                <w:sz w:val="18"/>
              </w:rPr>
              <w:t>$17,903,165</w:t>
            </w:r>
          </w:p>
        </w:tc>
        <w:tc>
          <w:tcPr>
            <w:tcW w:type="dxa" w:w="1134"/>
            <w:shd w:val="clear" w:color="auto" w:fill="F7F8FA"/>
          </w:tcPr>
          <w:p>
            <w:pPr>
              <w:jc w:val="center"/>
            </w:pPr>
            <w:r>
              <w:rPr>
                <w:sz w:val="18"/>
              </w:rPr>
              <w:t>$7,366,353</w:t>
            </w:r>
          </w:p>
        </w:tc>
        <w:tc>
          <w:tcPr>
            <w:tcW w:type="dxa" w:w="1134"/>
            <w:shd w:val="clear" w:color="auto" w:fill="F7F8FA"/>
          </w:tcPr>
          <w:p>
            <w:pPr>
              <w:jc w:val="center"/>
            </w:pPr>
            <w:r>
              <w:rPr>
                <w:sz w:val="18"/>
              </w:rPr>
              <w:t>$1,282.74</w:t>
            </w:r>
          </w:p>
        </w:tc>
        <w:tc>
          <w:tcPr>
            <w:tcW w:type="dxa" w:w="1134"/>
            <w:shd w:val="clear" w:color="auto" w:fill="F7F8FA"/>
          </w:tcPr>
          <w:p>
            <w:pPr>
              <w:jc w:val="center"/>
            </w:pPr>
            <w:r>
              <w:rPr>
                <w:sz w:val="18"/>
              </w:rPr>
              <w:t>3.83</w:t>
            </w:r>
          </w:p>
        </w:tc>
        <w:tc>
          <w:tcPr>
            <w:tcW w:type="dxa" w:w="1134"/>
            <w:shd w:val="clear" w:color="auto" w:fill="F7F8FA"/>
          </w:tcPr>
          <w:p>
            <w:pPr>
              <w:jc w:val="center"/>
            </w:pPr>
            <w:r>
              <w:rPr>
                <w:sz w:val="18"/>
              </w:rPr>
              <w:t>41.15</w:t>
            </w:r>
          </w:p>
        </w:tc>
      </w:tr>
    </w:tbl>
    <w:p/>
    <w:p>
      <w:pPr>
        <w:pStyle w:val="Heading2"/>
        <w:jc w:val="left"/>
      </w:pPr>
      <w:r>
        <w:rPr>
          <w:color w:val="1F2328"/>
        </w:rPr>
        <w:t>7.2 Demographic Analysis</w:t>
      </w:r>
    </w:p>
    <w:p>
      <w:pPr>
        <w:jc w:val="left"/>
      </w:pPr>
      <w:r>
        <w:rPr>
          <w:b w:val="0"/>
          <w:color w:val="1F2328"/>
          <w:sz w:val="22"/>
        </w:rPr>
        <w:t>Customer age and gender analysis reveals the primary demographic driving purchases. This informs creative direction, channel selection, and product curation.</w:t>
      </w:r>
    </w:p>
    <w:p>
      <w:pPr>
        <w:jc w:val="center"/>
      </w:pPr>
      <w:r>
        <w:drawing>
          <wp:inline xmlns:a="http://schemas.openxmlformats.org/drawingml/2006/main" xmlns:pic="http://schemas.openxmlformats.org/drawingml/2006/picture">
            <wp:extent cx="5669280" cy="219698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196987"/>
                    </a:xfrm>
                    <a:prstGeom prst="rect"/>
                  </pic:spPr>
                </pic:pic>
              </a:graphicData>
            </a:graphic>
          </wp:inline>
        </w:drawing>
      </w:r>
    </w:p>
    <w:p>
      <w:pPr>
        <w:jc w:val="center"/>
      </w:pPr>
      <w:r>
        <w:rPr>
          <w:i/>
          <w:color w:val="57606A"/>
          <w:sz w:val="18"/>
        </w:rPr>
        <w:t>Figure 8: Customer Age Distribution &amp; Revenue by Gender</w:t>
      </w:r>
    </w:p>
    <w:p>
      <w:pPr>
        <w:pStyle w:val="Heading2"/>
        <w:jc w:val="left"/>
      </w:pPr>
      <w:r>
        <w:rPr>
          <w:color w:val="1F2328"/>
        </w:rPr>
        <w:t>7.3 Customer Ratings</w:t>
      </w:r>
    </w:p>
    <w:p>
      <w:pPr>
        <w:jc w:val="left"/>
      </w:pPr>
      <w:r>
        <w:rPr>
          <w:b w:val="0"/>
          <w:color w:val="1F2328"/>
          <w:sz w:val="22"/>
        </w:rPr>
        <w:t>Satisfaction metrics across the platform average 3.68/5.0. The distribution and per-segment breakdown are shown below.</w:t>
      </w:r>
    </w:p>
    <w:p>
      <w:pPr>
        <w:jc w:val="center"/>
      </w:pPr>
      <w:r>
        <w:drawing>
          <wp:inline xmlns:a="http://schemas.openxmlformats.org/drawingml/2006/main" xmlns:pic="http://schemas.openxmlformats.org/drawingml/2006/picture">
            <wp:extent cx="5669280" cy="202375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023753"/>
                    </a:xfrm>
                    <a:prstGeom prst="rect"/>
                  </pic:spPr>
                </pic:pic>
              </a:graphicData>
            </a:graphic>
          </wp:inline>
        </w:drawing>
      </w:r>
    </w:p>
    <w:p>
      <w:pPr>
        <w:jc w:val="center"/>
      </w:pPr>
      <w:r>
        <w:rPr>
          <w:i/>
          <w:color w:val="57606A"/>
          <w:sz w:val="18"/>
        </w:rPr>
        <w:t>Figure 9: Customer Rating Distribution &amp; Average by Segment</w:t>
      </w:r>
    </w:p>
    <w:p/>
    <w:p>
      <w:r>
        <w:br w:type="page"/>
      </w:r>
    </w:p>
    <w:p>
      <w:pPr>
        <w:pStyle w:val="Heading1"/>
        <w:jc w:val="left"/>
      </w:pPr>
      <w:r>
        <w:rPr>
          <w:color w:val="3B82D4"/>
        </w:rPr>
        <w:t>8. Operational Insights</w:t>
      </w:r>
    </w:p>
    <w:p>
      <w:pPr>
        <w:pStyle w:val="Heading2"/>
        <w:jc w:val="left"/>
      </w:pPr>
      <w:r>
        <w:rPr>
          <w:color w:val="1F2328"/>
        </w:rPr>
        <w:t>8.1 Payment Method Analysis</w:t>
      </w:r>
    </w:p>
    <w:p>
      <w:pPr>
        <w:jc w:val="left"/>
      </w:pPr>
      <w:r>
        <w:rPr>
          <w:b w:val="0"/>
          <w:color w:val="1F2328"/>
          <w:sz w:val="22"/>
        </w:rPr>
        <w:t>Payment method preferences affect both conversion rates and operational costs. Understanding revenue contribution by payment type guides checkout optimisation.</w:t>
      </w:r>
    </w:p>
    <w:p>
      <w:pPr>
        <w:jc w:val="center"/>
      </w:pPr>
      <w:r>
        <w:drawing>
          <wp:inline xmlns:a="http://schemas.openxmlformats.org/drawingml/2006/main" xmlns:pic="http://schemas.openxmlformats.org/drawingml/2006/picture">
            <wp:extent cx="5486400" cy="240184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2401843"/>
                    </a:xfrm>
                    <a:prstGeom prst="rect"/>
                  </pic:spPr>
                </pic:pic>
              </a:graphicData>
            </a:graphic>
          </wp:inline>
        </w:drawing>
      </w:r>
    </w:p>
    <w:p>
      <w:pPr>
        <w:jc w:val="center"/>
      </w:pPr>
      <w:r>
        <w:rPr>
          <w:i/>
          <w:color w:val="57606A"/>
          <w:sz w:val="18"/>
        </w:rPr>
        <w:t>Figure 10: Revenue by Payment Method</w:t>
      </w:r>
    </w:p>
    <w:p>
      <w:pPr>
        <w:pStyle w:val="Heading2"/>
        <w:jc w:val="left"/>
      </w:pPr>
      <w:r>
        <w:rPr>
          <w:color w:val="1F2328"/>
        </w:rPr>
        <w:t>8.2 Delivery Performance by Shipping Method</w:t>
      </w:r>
    </w:p>
    <w:p>
      <w:pPr>
        <w:jc w:val="left"/>
      </w:pPr>
      <w:r>
        <w:rPr>
          <w:b w:val="0"/>
          <w:color w:val="1F2328"/>
          <w:sz w:val="22"/>
        </w:rPr>
        <w:t>Delivery performance directly impacts customer satisfaction and return rates. The stacked bar chart shows on-time, late, and other delivery statuses per shipping method.</w:t>
      </w:r>
    </w:p>
    <w:p>
      <w:pPr>
        <w:jc w:val="center"/>
      </w:pPr>
      <w:r>
        <w:drawing>
          <wp:inline xmlns:a="http://schemas.openxmlformats.org/drawingml/2006/main" xmlns:pic="http://schemas.openxmlformats.org/drawingml/2006/picture">
            <wp:extent cx="5669280" cy="247633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476335"/>
                    </a:xfrm>
                    <a:prstGeom prst="rect"/>
                  </pic:spPr>
                </pic:pic>
              </a:graphicData>
            </a:graphic>
          </wp:inline>
        </w:drawing>
      </w:r>
    </w:p>
    <w:p>
      <w:pPr>
        <w:jc w:val="center"/>
      </w:pPr>
      <w:r>
        <w:rPr>
          <w:i/>
          <w:color w:val="57606A"/>
          <w:sz w:val="18"/>
        </w:rPr>
        <w:t>Figure 11: Delivery Status by Shipping Method (%)</w:t>
      </w:r>
    </w:p>
    <w:p>
      <w:pPr>
        <w:pStyle w:val="Heading2"/>
        <w:jc w:val="left"/>
      </w:pPr>
      <w:r>
        <w:rPr>
          <w:color w:val="1F2328"/>
        </w:rPr>
        <w:t>8.3 Profit Margin Distribution</w:t>
      </w:r>
    </w:p>
    <w:p>
      <w:pPr>
        <w:jc w:val="left"/>
      </w:pPr>
      <w:r>
        <w:rPr>
          <w:b w:val="0"/>
          <w:color w:val="1F2328"/>
          <w:sz w:val="22"/>
        </w:rPr>
        <w:t>Profit margin varies widely across orders. The histogram identifies the central tendency and spread, helping the finance team flag low-margin orders for review.</w:t>
      </w:r>
    </w:p>
    <w:p>
      <w:pPr>
        <w:jc w:val="center"/>
      </w:pPr>
      <w:r>
        <w:drawing>
          <wp:inline xmlns:a="http://schemas.openxmlformats.org/drawingml/2006/main" xmlns:pic="http://schemas.openxmlformats.org/drawingml/2006/picture">
            <wp:extent cx="5486400" cy="270156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2701566"/>
                    </a:xfrm>
                    <a:prstGeom prst="rect"/>
                  </pic:spPr>
                </pic:pic>
              </a:graphicData>
            </a:graphic>
          </wp:inline>
        </w:drawing>
      </w:r>
    </w:p>
    <w:p>
      <w:pPr>
        <w:jc w:val="center"/>
      </w:pPr>
      <w:r>
        <w:rPr>
          <w:i/>
          <w:color w:val="57606A"/>
          <w:sz w:val="18"/>
        </w:rPr>
        <w:t>Figure 12: Distribution of Profit Margin %</w:t>
      </w:r>
    </w:p>
    <w:p>
      <w:pPr>
        <w:pStyle w:val="Heading2"/>
        <w:jc w:val="left"/>
      </w:pPr>
      <w:r>
        <w:rPr>
          <w:color w:val="1F2328"/>
        </w:rPr>
        <w:t>8.4 Order Status Breakdown</w:t>
      </w:r>
    </w:p>
    <w:p>
      <w:pPr>
        <w:jc w:val="left"/>
      </w:pPr>
      <w:r>
        <w:rPr>
          <w:b w:val="0"/>
          <w:color w:val="1F2328"/>
          <w:sz w:val="22"/>
        </w:rPr>
        <w:t>Understanding how orders resolve — Completed, Cancelled, Returned — is essential for measuring fulfillment quality and identifying process gaps.</w:t>
      </w:r>
    </w:p>
    <w:p>
      <w:pPr>
        <w:jc w:val="center"/>
      </w:pPr>
      <w:r>
        <w:drawing>
          <wp:inline xmlns:a="http://schemas.openxmlformats.org/drawingml/2006/main" xmlns:pic="http://schemas.openxmlformats.org/drawingml/2006/picture">
            <wp:extent cx="5029200" cy="283499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2834993"/>
                    </a:xfrm>
                    <a:prstGeom prst="rect"/>
                  </pic:spPr>
                </pic:pic>
              </a:graphicData>
            </a:graphic>
          </wp:inline>
        </w:drawing>
      </w:r>
    </w:p>
    <w:p>
      <w:pPr>
        <w:jc w:val="center"/>
      </w:pPr>
      <w:r>
        <w:rPr>
          <w:i/>
          <w:color w:val="57606A"/>
          <w:sz w:val="18"/>
        </w:rPr>
        <w:t>Figure 13: Order Status Distribution</w:t>
      </w:r>
    </w:p>
    <w:p>
      <w:pPr>
        <w:pStyle w:val="Heading2"/>
        <w:jc w:val="left"/>
      </w:pPr>
      <w:r>
        <w:rPr>
          <w:color w:val="1F2328"/>
        </w:rPr>
        <w:t>8.5 Marketing Channel Effectiveness</w:t>
      </w:r>
    </w:p>
    <w:p>
      <w:pPr>
        <w:jc w:val="left"/>
      </w:pPr>
      <w:r>
        <w:rPr>
          <w:b w:val="0"/>
          <w:color w:val="1F2328"/>
          <w:sz w:val="22"/>
        </w:rPr>
        <w:t>Marketing spend attribution shows which channels drive the highest revenue. Channels with high revenue per order signal efficient customer acquisition pathways.</w:t>
      </w:r>
    </w:p>
    <w:p>
      <w:pPr>
        <w:jc w:val="center"/>
      </w:pPr>
      <w:r>
        <w:drawing>
          <wp:inline xmlns:a="http://schemas.openxmlformats.org/drawingml/2006/main" xmlns:pic="http://schemas.openxmlformats.org/drawingml/2006/picture">
            <wp:extent cx="5486400" cy="240184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2401843"/>
                    </a:xfrm>
                    <a:prstGeom prst="rect"/>
                  </pic:spPr>
                </pic:pic>
              </a:graphicData>
            </a:graphic>
          </wp:inline>
        </w:drawing>
      </w:r>
    </w:p>
    <w:p>
      <w:pPr>
        <w:jc w:val="center"/>
      </w:pPr>
      <w:r>
        <w:rPr>
          <w:i/>
          <w:color w:val="57606A"/>
          <w:sz w:val="18"/>
        </w:rPr>
        <w:t>Figure 14: Revenue by Marketing Channel</w:t>
      </w:r>
    </w:p>
    <w:p>
      <w:r>
        <w:br w:type="page"/>
      </w:r>
    </w:p>
    <w:p>
      <w:pPr>
        <w:pStyle w:val="Heading1"/>
        <w:jc w:val="left"/>
      </w:pPr>
      <w:r>
        <w:rPr>
          <w:color w:val="3B82D4"/>
        </w:rPr>
        <w:t>9. RFM Customer Segmentation</w:t>
      </w:r>
    </w:p>
    <w:p>
      <w:pPr>
        <w:jc w:val="left"/>
      </w:pPr>
      <w:r>
        <w:rPr>
          <w:b w:val="0"/>
          <w:color w:val="1F2328"/>
          <w:sz w:val="22"/>
        </w:rPr>
        <w:t>RFM (Recency, Frequency, Monetary) analysis segments customers based on their most recent purchase, how often they buy, and how much they spend. Each dimension is scored 1–4 and combined into a composite RFM score used to classify customers.</w:t>
      </w:r>
    </w:p>
    <w:p/>
    <w:p>
      <w:pPr>
        <w:jc w:val="left"/>
      </w:pPr>
      <w:r>
        <w:rPr>
          <w:b/>
          <w:color w:val="1F2328"/>
          <w:sz w:val="22"/>
        </w:rPr>
        <w:t>Segment Definitions: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b82d4"/>
          </w:tcPr>
          <w:p>
            <w:pPr>
              <w:jc w:val="center"/>
            </w:pPr>
            <w:r>
              <w:rPr>
                <w:b/>
                <w:color w:val="FFFFFF"/>
                <w:sz w:val="18"/>
              </w:rPr>
              <w:t>Segment</w:t>
            </w:r>
          </w:p>
        </w:tc>
        <w:tc>
          <w:tcPr>
            <w:tcW w:type="dxa" w:w="3024"/>
            <w:shd w:val="clear" w:color="auto" w:fill="3b82d4"/>
          </w:tcPr>
          <w:p>
            <w:pPr>
              <w:jc w:val="center"/>
            </w:pPr>
            <w:r>
              <w:rPr>
                <w:b/>
                <w:color w:val="FFFFFF"/>
                <w:sz w:val="18"/>
              </w:rPr>
              <w:t>RFM Score</w:t>
            </w:r>
          </w:p>
        </w:tc>
        <w:tc>
          <w:tcPr>
            <w:tcW w:type="dxa" w:w="3024"/>
            <w:shd w:val="clear" w:color="auto" w:fill="3b82d4"/>
          </w:tcPr>
          <w:p>
            <w:pPr>
              <w:jc w:val="center"/>
            </w:pPr>
            <w:r>
              <w:rPr>
                <w:b/>
                <w:color w:val="FFFFFF"/>
                <w:sz w:val="18"/>
              </w:rPr>
              <w:t>Description</w:t>
            </w:r>
          </w:p>
        </w:tc>
      </w:tr>
      <w:tr>
        <w:tc>
          <w:tcPr>
            <w:tcW w:type="dxa" w:w="3024"/>
            <w:shd w:val="clear" w:color="auto" w:fill="FFFFFF"/>
          </w:tcPr>
          <w:p>
            <w:pPr>
              <w:jc w:val="center"/>
            </w:pPr>
            <w:r>
              <w:rPr>
                <w:sz w:val="18"/>
              </w:rPr>
              <w:t>Champions</w:t>
            </w:r>
          </w:p>
        </w:tc>
        <w:tc>
          <w:tcPr>
            <w:tcW w:type="dxa" w:w="3024"/>
            <w:shd w:val="clear" w:color="auto" w:fill="FFFFFF"/>
          </w:tcPr>
          <w:p>
            <w:pPr>
              <w:jc w:val="center"/>
            </w:pPr>
            <w:r>
              <w:rPr>
                <w:sz w:val="18"/>
              </w:rPr>
              <w:t>10–12</w:t>
            </w:r>
          </w:p>
        </w:tc>
        <w:tc>
          <w:tcPr>
            <w:tcW w:type="dxa" w:w="3024"/>
            <w:shd w:val="clear" w:color="auto" w:fill="FFFFFF"/>
          </w:tcPr>
          <w:p>
            <w:pPr>
              <w:jc w:val="center"/>
            </w:pPr>
            <w:r>
              <w:rPr>
                <w:sz w:val="18"/>
              </w:rPr>
              <w:t>Recent buyers, high frequency &amp; value — core revenue drivers</w:t>
            </w:r>
          </w:p>
        </w:tc>
      </w:tr>
      <w:tr>
        <w:tc>
          <w:tcPr>
            <w:tcW w:type="dxa" w:w="3024"/>
            <w:shd w:val="clear" w:color="auto" w:fill="F7F8FA"/>
          </w:tcPr>
          <w:p>
            <w:pPr>
              <w:jc w:val="center"/>
            </w:pPr>
            <w:r>
              <w:rPr>
                <w:sz w:val="18"/>
              </w:rPr>
              <w:t>Loyal</w:t>
            </w:r>
          </w:p>
        </w:tc>
        <w:tc>
          <w:tcPr>
            <w:tcW w:type="dxa" w:w="3024"/>
            <w:shd w:val="clear" w:color="auto" w:fill="F7F8FA"/>
          </w:tcPr>
          <w:p>
            <w:pPr>
              <w:jc w:val="center"/>
            </w:pPr>
            <w:r>
              <w:rPr>
                <w:sz w:val="18"/>
              </w:rPr>
              <w:t>7–9</w:t>
            </w:r>
          </w:p>
        </w:tc>
        <w:tc>
          <w:tcPr>
            <w:tcW w:type="dxa" w:w="3024"/>
            <w:shd w:val="clear" w:color="auto" w:fill="F7F8FA"/>
          </w:tcPr>
          <w:p>
            <w:pPr>
              <w:jc w:val="center"/>
            </w:pPr>
            <w:r>
              <w:rPr>
                <w:sz w:val="18"/>
              </w:rPr>
              <w:t>Regular buyers with strong spend — nurture and reward</w:t>
            </w:r>
          </w:p>
        </w:tc>
      </w:tr>
      <w:tr>
        <w:tc>
          <w:tcPr>
            <w:tcW w:type="dxa" w:w="3024"/>
            <w:shd w:val="clear" w:color="auto" w:fill="FFFFFF"/>
          </w:tcPr>
          <w:p>
            <w:pPr>
              <w:jc w:val="center"/>
            </w:pPr>
            <w:r>
              <w:rPr>
                <w:sz w:val="18"/>
              </w:rPr>
              <w:t>Potential</w:t>
            </w:r>
          </w:p>
        </w:tc>
        <w:tc>
          <w:tcPr>
            <w:tcW w:type="dxa" w:w="3024"/>
            <w:shd w:val="clear" w:color="auto" w:fill="FFFFFF"/>
          </w:tcPr>
          <w:p>
            <w:pPr>
              <w:jc w:val="center"/>
            </w:pPr>
            <w:r>
              <w:rPr>
                <w:sz w:val="18"/>
              </w:rPr>
              <w:t>5–6</w:t>
            </w:r>
          </w:p>
        </w:tc>
        <w:tc>
          <w:tcPr>
            <w:tcW w:type="dxa" w:w="3024"/>
            <w:shd w:val="clear" w:color="auto" w:fill="FFFFFF"/>
          </w:tcPr>
          <w:p>
            <w:pPr>
              <w:jc w:val="center"/>
            </w:pPr>
            <w:r>
              <w:rPr>
                <w:sz w:val="18"/>
              </w:rPr>
              <w:t>Mid-tier customers with growth potential</w:t>
            </w:r>
          </w:p>
        </w:tc>
      </w:tr>
      <w:tr>
        <w:tc>
          <w:tcPr>
            <w:tcW w:type="dxa" w:w="3024"/>
            <w:shd w:val="clear" w:color="auto" w:fill="F7F8FA"/>
          </w:tcPr>
          <w:p>
            <w:pPr>
              <w:jc w:val="center"/>
            </w:pPr>
            <w:r>
              <w:rPr>
                <w:sz w:val="18"/>
              </w:rPr>
              <w:t>At Risk</w:t>
            </w:r>
          </w:p>
        </w:tc>
        <w:tc>
          <w:tcPr>
            <w:tcW w:type="dxa" w:w="3024"/>
            <w:shd w:val="clear" w:color="auto" w:fill="F7F8FA"/>
          </w:tcPr>
          <w:p>
            <w:pPr>
              <w:jc w:val="center"/>
            </w:pPr>
            <w:r>
              <w:rPr>
                <w:sz w:val="18"/>
              </w:rPr>
              <w:t>3–4</w:t>
            </w:r>
          </w:p>
        </w:tc>
        <w:tc>
          <w:tcPr>
            <w:tcW w:type="dxa" w:w="3024"/>
            <w:shd w:val="clear" w:color="auto" w:fill="F7F8FA"/>
          </w:tcPr>
          <w:p>
            <w:pPr>
              <w:jc w:val="center"/>
            </w:pPr>
            <w:r>
              <w:rPr>
                <w:sz w:val="18"/>
              </w:rPr>
              <w:t>Lapsed or low-engagement customers needing re-activation</w:t>
            </w:r>
          </w:p>
        </w:tc>
      </w:tr>
    </w:tbl>
    <w:p/>
    <w:p>
      <w:pPr>
        <w:jc w:val="center"/>
      </w:pPr>
      <w:r>
        <w:drawing>
          <wp:inline xmlns:a="http://schemas.openxmlformats.org/drawingml/2006/main" xmlns:pic="http://schemas.openxmlformats.org/drawingml/2006/picture">
            <wp:extent cx="5669280" cy="221166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211663"/>
                    </a:xfrm>
                    <a:prstGeom prst="rect"/>
                  </pic:spPr>
                </pic:pic>
              </a:graphicData>
            </a:graphic>
          </wp:inline>
        </w:drawing>
      </w:r>
    </w:p>
    <w:p>
      <w:pPr>
        <w:jc w:val="center"/>
      </w:pPr>
      <w:r>
        <w:rPr>
          <w:i/>
          <w:color w:val="57606A"/>
          <w:sz w:val="18"/>
        </w:rPr>
        <w:t>Figure 15: RFM Segment Customer Counts &amp; Revenue Share</w:t>
      </w:r>
    </w:p>
    <w:p>
      <w:r>
        <w:br w:type="page"/>
      </w:r>
    </w:p>
    <w:p>
      <w:pPr>
        <w:pStyle w:val="Heading1"/>
        <w:jc w:val="left"/>
      </w:pPr>
      <w:r>
        <w:rPr>
          <w:color w:val="3B82D4"/>
        </w:rPr>
        <w:t>10. Correlation Analysis</w:t>
      </w:r>
    </w:p>
    <w:p>
      <w:pPr>
        <w:jc w:val="left"/>
      </w:pPr>
      <w:r>
        <w:rPr>
          <w:b w:val="0"/>
          <w:color w:val="1F2328"/>
          <w:sz w:val="22"/>
        </w:rPr>
        <w:t>Pearson correlation coefficients across all numeric features reveal relationships between sales, costs, discounts, ratings, and profitability metrics. Strong positive correlations appear between gross sales, net sales, and profit, confirming data consistency.</w:t>
      </w:r>
    </w:p>
    <w:p>
      <w:pPr>
        <w:jc w:val="center"/>
      </w:pPr>
      <w:r>
        <w:drawing>
          <wp:inline xmlns:a="http://schemas.openxmlformats.org/drawingml/2006/main" xmlns:pic="http://schemas.openxmlformats.org/drawingml/2006/picture">
            <wp:extent cx="5760720" cy="419403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60720" cy="4194031"/>
                    </a:xfrm>
                    <a:prstGeom prst="rect"/>
                  </pic:spPr>
                </pic:pic>
              </a:graphicData>
            </a:graphic>
          </wp:inline>
        </w:drawing>
      </w:r>
    </w:p>
    <w:p>
      <w:pPr>
        <w:jc w:val="center"/>
      </w:pPr>
      <w:r>
        <w:rPr>
          <w:i/>
          <w:color w:val="57606A"/>
          <w:sz w:val="18"/>
        </w:rPr>
        <w:t>Figure 16: Pearson Correlation Matrix – Numeric Features</w:t>
      </w:r>
    </w:p>
    <w:p/>
    <w:p>
      <w:r>
        <w:br w:type="page"/>
      </w:r>
    </w:p>
    <w:p>
      <w:pPr>
        <w:pStyle w:val="Heading1"/>
        <w:jc w:val="left"/>
      </w:pPr>
      <w:r>
        <w:rPr>
          <w:color w:val="3B82D4"/>
        </w:rPr>
        <w:t>11. Conclusions &amp; Recommendations</w:t>
      </w:r>
    </w:p>
    <w:p>
      <w:pPr>
        <w:jc w:val="left"/>
      </w:pPr>
      <w:r>
        <w:rPr>
          <w:b/>
          <w:color w:val="1F2328"/>
          <w:sz w:val="22"/>
        </w:rPr>
        <w:t>• Revenue Growth:</w:t>
      </w:r>
    </w:p>
    <w:p>
      <w:pPr>
        <w:jc w:val="left"/>
      </w:pPr>
      <w:r>
        <w:rPr>
          <w:b w:val="0"/>
          <w:color w:val="1F2328"/>
          <w:sz w:val="22"/>
        </w:rPr>
        <w:t xml:space="preserve">  Revenue has been sustained over five years with consistent monthly activity. Seasonal peaks present opportunities for targeted promotions.</w:t>
      </w:r>
    </w:p>
    <w:p/>
    <w:p>
      <w:pPr>
        <w:jc w:val="left"/>
      </w:pPr>
      <w:r>
        <w:rPr>
          <w:b/>
          <w:color w:val="1F2328"/>
          <w:sz w:val="22"/>
        </w:rPr>
        <w:t>• Profitability:</w:t>
      </w:r>
    </w:p>
    <w:p>
      <w:pPr>
        <w:jc w:val="left"/>
      </w:pPr>
      <w:r>
        <w:rPr>
          <w:b w:val="0"/>
          <w:color w:val="1F2328"/>
          <w:sz w:val="22"/>
        </w:rPr>
        <w:t xml:space="preserve">  The platform achieves an overall profit margin of 43.0%. Categories and brands with below-average margins should be reviewed for pricing adjustments.</w:t>
      </w:r>
    </w:p>
    <w:p/>
    <w:p>
      <w:pPr>
        <w:jc w:val="left"/>
      </w:pPr>
      <w:r>
        <w:rPr>
          <w:b/>
          <w:color w:val="1F2328"/>
          <w:sz w:val="22"/>
        </w:rPr>
        <w:t>• Customer Segmentation:</w:t>
      </w:r>
    </w:p>
    <w:p>
      <w:pPr>
        <w:jc w:val="left"/>
      </w:pPr>
      <w:r>
        <w:rPr>
          <w:b w:val="0"/>
          <w:color w:val="1F2328"/>
          <w:sz w:val="22"/>
        </w:rPr>
        <w:t xml:space="preserve">  VIP and Premium segments generate disproportionately high revenue per order. Investing in loyalty programmes for these tiers will maximise lifetime value.</w:t>
      </w:r>
    </w:p>
    <w:p/>
    <w:p>
      <w:pPr>
        <w:jc w:val="left"/>
      </w:pPr>
      <w:r>
        <w:rPr>
          <w:b/>
          <w:color w:val="1F2328"/>
          <w:sz w:val="22"/>
        </w:rPr>
        <w:t>• RFM Insights:</w:t>
      </w:r>
    </w:p>
    <w:p>
      <w:pPr>
        <w:jc w:val="left"/>
      </w:pPr>
      <w:r>
        <w:rPr>
          <w:b w:val="0"/>
          <w:color w:val="1F2328"/>
          <w:sz w:val="22"/>
        </w:rPr>
        <w:t xml:space="preserve">  At-Risk customers represent a recovery opportunity. Personalised re-engagement campaigns (discount codes, product recommendations) can recover a meaningful share of lapsed revenue.</w:t>
      </w:r>
    </w:p>
    <w:p/>
    <w:p>
      <w:pPr>
        <w:jc w:val="left"/>
      </w:pPr>
      <w:r>
        <w:rPr>
          <w:b/>
          <w:color w:val="1F2328"/>
          <w:sz w:val="22"/>
        </w:rPr>
        <w:t>• Marketing Channels:</w:t>
      </w:r>
    </w:p>
    <w:p>
      <w:pPr>
        <w:jc w:val="left"/>
      </w:pPr>
      <w:r>
        <w:rPr>
          <w:b w:val="0"/>
          <w:color w:val="1F2328"/>
          <w:sz w:val="22"/>
        </w:rPr>
        <w:t xml:space="preserve">  Channels with high average order value but lower volume deserve increased spend to scale revenue efficiently without proportional cost growth.</w:t>
      </w:r>
    </w:p>
    <w:p/>
    <w:p>
      <w:pPr>
        <w:jc w:val="left"/>
      </w:pPr>
      <w:r>
        <w:rPr>
          <w:b/>
          <w:color w:val="1F2328"/>
          <w:sz w:val="22"/>
        </w:rPr>
        <w:t>• Delivery Performance:</w:t>
      </w:r>
    </w:p>
    <w:p>
      <w:pPr>
        <w:jc w:val="left"/>
      </w:pPr>
      <w:r>
        <w:rPr>
          <w:b w:val="0"/>
          <w:color w:val="1F2328"/>
          <w:sz w:val="22"/>
        </w:rPr>
        <w:t xml:space="preserve">  The 6.9% return rate should be monitored per category and shipping method. Late deliveries correlate with lower ratings — improving last-mile logistics is a priority.</w:t>
      </w:r>
    </w:p>
    <w:p/>
    <w:p>
      <w:pPr>
        <w:jc w:val="left"/>
      </w:pPr>
      <w:r>
        <w:rPr>
          <w:b/>
          <w:color w:val="1F2328"/>
          <w:sz w:val="22"/>
        </w:rPr>
        <w:t>• Data Quality:</w:t>
      </w:r>
    </w:p>
    <w:p>
      <w:pPr>
        <w:jc w:val="left"/>
      </w:pPr>
      <w:r>
        <w:rPr>
          <w:b w:val="0"/>
          <w:color w:val="1F2328"/>
          <w:sz w:val="22"/>
        </w:rPr>
        <w:t xml:space="preserve">  The dataset is well-structured with minimal null values in core fields. Return reason is sparsely populated — enriching this field will enable root-cause analysis.</w:t>
      </w:r>
    </w:p>
    <w:p/>
    <w:p>
      <w:r>
        <w:br w:type="page"/>
      </w:r>
    </w:p>
    <w:p>
      <w:pPr>
        <w:pStyle w:val="Heading1"/>
        <w:jc w:val="left"/>
      </w:pPr>
      <w:r>
        <w:rPr>
          <w:color w:val="3B82D4"/>
        </w:rPr>
        <w:t>References</w:t>
      </w:r>
    </w:p>
    <w:p>
      <w:pPr>
        <w:jc w:val="left"/>
      </w:pPr>
      <w:r>
        <w:rPr>
          <w:b w:val="0"/>
          <w:color w:val="1F2328"/>
          <w:sz w:val="22"/>
        </w:rPr>
        <w:t>1. Dataset: E-Commerce Sales and Customer Analytics</w:t>
      </w:r>
    </w:p>
    <w:p>
      <w:pPr>
        <w:jc w:val="left"/>
      </w:pPr>
      <w:r>
        <w:rPr>
          <w:b w:val="0"/>
          <w:color w:val="1F2328"/>
          <w:sz w:val="22"/>
        </w:rPr>
        <w:t xml:space="preserve">   https://www.kaggle.com/datasets/datascikhan/e-commerce-sales-and-customer-analytics</w:t>
      </w:r>
    </w:p>
    <w:p/>
    <w:p>
      <w:pPr>
        <w:jc w:val="left"/>
      </w:pPr>
      <w:r>
        <w:rPr>
          <w:b w:val="0"/>
          <w:color w:val="1F2328"/>
          <w:sz w:val="22"/>
        </w:rPr>
        <w:t>2. Python Libraries Used:</w:t>
      </w:r>
    </w:p>
    <w:p>
      <w:pPr>
        <w:jc w:val="left"/>
      </w:pPr>
      <w:r>
        <w:rPr>
          <w:b w:val="0"/>
          <w:color w:val="1F2328"/>
          <w:sz w:val="22"/>
        </w:rPr>
        <w:t xml:space="preserve">   pandas, numpy, matplotlib, seaborn, python-docx</w:t>
      </w:r>
    </w:p>
    <w:p/>
    <w:p/>
    <w:p>
      <w:pPr>
        <w:jc w:val="left"/>
      </w:pPr>
      <w:r>
        <w:rPr>
          <w:b w:val="0"/>
          <w:color w:val="E5E7EB"/>
          <w:sz w:val="18"/>
        </w:rPr>
        <w:t>────────────────────────────────────────────────────────────</w:t>
      </w:r>
    </w:p>
    <w:p>
      <w:pPr>
        <w:jc w:val="center"/>
      </w:pPr>
      <w:r>
        <w:rPr>
          <w:b w:val="0"/>
          <w:color w:val="57606A"/>
          <w:sz w:val="18"/>
        </w:rPr>
        <w:t>Report prepared by Kriti Jain | E-Commerce Sales Analytics | Data Analytics Project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